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1092" w14:textId="77777777" w:rsidR="00A4565A" w:rsidRDefault="00717C01" w:rsidP="00A4565A">
      <w:pPr>
        <w:pStyle w:val="Heading1"/>
        <w:spacing w:before="0" w:after="0" w:line="240" w:lineRule="auto"/>
        <w:jc w:val="center"/>
        <w:rPr>
          <w:rFonts w:eastAsia="Times New Roman"/>
          <w:lang w:eastAsia="en-GB"/>
        </w:rPr>
      </w:pPr>
      <w:r w:rsidRPr="00717C01">
        <w:rPr>
          <w:rFonts w:eastAsia="Times New Roman"/>
          <w:lang w:eastAsia="en-GB"/>
        </w:rPr>
        <w:t>Safeguarding Adults Review (Adult H)</w:t>
      </w:r>
      <w:r w:rsidR="00A4565A">
        <w:rPr>
          <w:rFonts w:eastAsia="Times New Roman"/>
          <w:lang w:eastAsia="en-GB"/>
        </w:rPr>
        <w:t xml:space="preserve"> </w:t>
      </w:r>
    </w:p>
    <w:p w14:paraId="03EF7539" w14:textId="384A010D" w:rsidR="00717C01" w:rsidRPr="00717C01" w:rsidRDefault="00A4565A" w:rsidP="00A4565A">
      <w:pPr>
        <w:pStyle w:val="Heading1"/>
        <w:spacing w:before="0" w:after="0" w:line="240" w:lineRule="auto"/>
        <w:jc w:val="center"/>
        <w:rPr>
          <w:rFonts w:eastAsia="Times New Roman"/>
          <w:lang w:eastAsia="en-GB"/>
        </w:rPr>
      </w:pPr>
      <w:r>
        <w:rPr>
          <w:rFonts w:eastAsia="Times New Roman"/>
          <w:lang w:eastAsia="en-GB"/>
        </w:rPr>
        <w:t>Board Response:  May 2026</w:t>
      </w:r>
    </w:p>
    <w:p w14:paraId="156CF490" w14:textId="182B5B6F" w:rsidR="00717C01" w:rsidRPr="00717C01" w:rsidRDefault="00717C01" w:rsidP="00717C01">
      <w:pPr>
        <w:pStyle w:val="NormalWeb"/>
        <w:spacing w:line="300" w:lineRule="atLeast"/>
        <w:rPr>
          <w:rFonts w:ascii="Segoe UI" w:hAnsi="Segoe UI" w:cs="Segoe UI"/>
        </w:rPr>
      </w:pPr>
      <w:r w:rsidRPr="00717C01">
        <w:rPr>
          <w:rFonts w:ascii="Segoe UI" w:hAnsi="Segoe UI" w:cs="Segoe UI"/>
        </w:rPr>
        <w:t>This review reflects a deeply sad set of circumstances. As a partnership, we are increasingly aware of the number of young people who take their own lives</w:t>
      </w:r>
      <w:r w:rsidR="003832D5">
        <w:rPr>
          <w:rStyle w:val="FootnoteReference"/>
          <w:rFonts w:ascii="Segoe UI" w:hAnsi="Segoe UI" w:cs="Segoe UI"/>
        </w:rPr>
        <w:footnoteReference w:id="1"/>
      </w:r>
      <w:r w:rsidRPr="00717C01">
        <w:rPr>
          <w:rFonts w:ascii="Segoe UI" w:hAnsi="Segoe UI" w:cs="Segoe UI"/>
        </w:rPr>
        <w:t>, and the profound impact this has on families, communities, and professionals.</w:t>
      </w:r>
    </w:p>
    <w:p w14:paraId="0FEEFD06" w14:textId="77777777" w:rsidR="00717C01" w:rsidRPr="00717C01" w:rsidRDefault="00717C01" w:rsidP="00717C01">
      <w:pPr>
        <w:pStyle w:val="NormalWeb"/>
        <w:spacing w:line="300" w:lineRule="atLeast"/>
        <w:rPr>
          <w:rFonts w:ascii="Segoe UI" w:hAnsi="Segoe UI" w:cs="Segoe UI"/>
        </w:rPr>
      </w:pPr>
      <w:r w:rsidRPr="00717C01">
        <w:rPr>
          <w:rFonts w:ascii="Segoe UI" w:hAnsi="Segoe UI" w:cs="Segoe UI"/>
        </w:rPr>
        <w:t>We know that some groups are at greater risk. Care leavers are statistically more likely to die by suicide, and unaccompanied asylum-seeking children can experience significant vulnerability, isolation, and trauma. These overlapping factors can further increase risk.</w:t>
      </w:r>
    </w:p>
    <w:p w14:paraId="080980FA" w14:textId="09253B1F" w:rsidR="00717C01" w:rsidRPr="00717C01" w:rsidRDefault="00717C01" w:rsidP="00717C01">
      <w:pPr>
        <w:pStyle w:val="NormalWeb"/>
        <w:spacing w:line="300" w:lineRule="atLeast"/>
        <w:rPr>
          <w:rFonts w:ascii="Segoe UI" w:hAnsi="Segoe UI" w:cs="Segoe UI"/>
        </w:rPr>
      </w:pPr>
      <w:r w:rsidRPr="00717C01">
        <w:rPr>
          <w:rFonts w:ascii="Segoe UI" w:hAnsi="Segoe UI" w:cs="Segoe UI"/>
        </w:rPr>
        <w:t xml:space="preserve">In response, </w:t>
      </w:r>
      <w:r w:rsidR="00A4565A">
        <w:rPr>
          <w:rFonts w:ascii="Segoe UI" w:hAnsi="Segoe UI" w:cs="Segoe UI"/>
        </w:rPr>
        <w:t>Calderdale</w:t>
      </w:r>
      <w:r w:rsidRPr="00717C01">
        <w:rPr>
          <w:rFonts w:ascii="Segoe UI" w:hAnsi="Segoe UI" w:cs="Segoe UI"/>
        </w:rPr>
        <w:t xml:space="preserve"> is committed not only to learning from this review, but also to strengthening approach</w:t>
      </w:r>
      <w:r w:rsidR="00A4565A">
        <w:rPr>
          <w:rFonts w:ascii="Segoe UI" w:hAnsi="Segoe UI" w:cs="Segoe UI"/>
        </w:rPr>
        <w:t>es</w:t>
      </w:r>
      <w:r w:rsidRPr="00717C01">
        <w:rPr>
          <w:rFonts w:ascii="Segoe UI" w:hAnsi="Segoe UI" w:cs="Segoe UI"/>
        </w:rPr>
        <w:t xml:space="preserve"> to prevention. This includes taking a </w:t>
      </w:r>
      <w:r w:rsidRPr="00717C01">
        <w:rPr>
          <w:rStyle w:val="Strong"/>
          <w:rFonts w:ascii="Segoe UI" w:eastAsiaTheme="majorEastAsia" w:hAnsi="Segoe UI" w:cs="Segoe UI"/>
          <w:b w:val="0"/>
          <w:bCs w:val="0"/>
        </w:rPr>
        <w:t>public health</w:t>
      </w:r>
      <w:r w:rsidRPr="00717C01">
        <w:rPr>
          <w:rStyle w:val="Strong"/>
          <w:rFonts w:ascii="Segoe UI" w:eastAsiaTheme="majorEastAsia" w:hAnsi="Segoe UI" w:cs="Segoe UI"/>
        </w:rPr>
        <w:t xml:space="preserve"> </w:t>
      </w:r>
      <w:r w:rsidRPr="00717C01">
        <w:rPr>
          <w:rStyle w:val="Strong"/>
          <w:rFonts w:ascii="Segoe UI" w:eastAsiaTheme="majorEastAsia" w:hAnsi="Segoe UI" w:cs="Segoe UI"/>
          <w:b w:val="0"/>
          <w:bCs w:val="0"/>
        </w:rPr>
        <w:t xml:space="preserve">approach </w:t>
      </w:r>
      <w:r w:rsidRPr="00717C01">
        <w:rPr>
          <w:rFonts w:ascii="Segoe UI" w:hAnsi="Segoe UI" w:cs="Segoe UI"/>
        </w:rPr>
        <w:t xml:space="preserve">and working across the partnership to better understand and respond to the </w:t>
      </w:r>
      <w:r w:rsidRPr="00717C01">
        <w:rPr>
          <w:rStyle w:val="Strong"/>
          <w:rFonts w:ascii="Segoe UI" w:eastAsiaTheme="majorEastAsia" w:hAnsi="Segoe UI" w:cs="Segoe UI"/>
          <w:b w:val="0"/>
          <w:bCs w:val="0"/>
        </w:rPr>
        <w:t>intersection of vulnerabilities</w:t>
      </w:r>
      <w:r w:rsidRPr="00717C01">
        <w:rPr>
          <w:rFonts w:ascii="Segoe UI" w:hAnsi="Segoe UI" w:cs="Segoe UI"/>
        </w:rPr>
        <w:t>, including care experience</w:t>
      </w:r>
      <w:r w:rsidR="00A4565A">
        <w:rPr>
          <w:rFonts w:ascii="Segoe UI" w:hAnsi="Segoe UI" w:cs="Segoe UI"/>
        </w:rPr>
        <w:t xml:space="preserve"> and </w:t>
      </w:r>
      <w:r w:rsidRPr="00717C01">
        <w:rPr>
          <w:rFonts w:ascii="Segoe UI" w:hAnsi="Segoe UI" w:cs="Segoe UI"/>
        </w:rPr>
        <w:t>asylum status.</w:t>
      </w:r>
    </w:p>
    <w:p w14:paraId="1470BA77" w14:textId="77F1885E" w:rsidR="00717C01" w:rsidRPr="00717C01" w:rsidRDefault="00717C01" w:rsidP="00717C01">
      <w:pPr>
        <w:pStyle w:val="Heading2"/>
        <w:rPr>
          <w:rFonts w:eastAsia="Times New Roman"/>
          <w:lang w:eastAsia="en-GB"/>
        </w:rPr>
      </w:pPr>
      <w:r w:rsidRPr="00717C01">
        <w:rPr>
          <w:rFonts w:eastAsia="Times New Roman"/>
          <w:lang w:eastAsia="en-GB"/>
        </w:rPr>
        <w:t>Board Response – Summary</w:t>
      </w:r>
    </w:p>
    <w:p w14:paraId="0B3D4CAB" w14:textId="5F4D838B" w:rsidR="00717C01" w:rsidRPr="00717C01" w:rsidRDefault="00717C01" w:rsidP="00A4565A">
      <w:pPr>
        <w:spacing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 xml:space="preserve">The Calderdale Safeguarding Adults Board has reviewed the findings of the Safeguarding Adults Review (SAR) relating to Adult H and has overseen a </w:t>
      </w:r>
      <w:r w:rsidR="003832D5">
        <w:rPr>
          <w:rFonts w:ascii="Segoe UI" w:eastAsia="Times New Roman" w:hAnsi="Segoe UI" w:cs="Segoe UI"/>
          <w:kern w:val="0"/>
          <w:lang w:eastAsia="en-GB"/>
          <w14:ligatures w14:val="none"/>
        </w:rPr>
        <w:t xml:space="preserve">coordinated, </w:t>
      </w:r>
      <w:r w:rsidRPr="00717C01">
        <w:rPr>
          <w:rFonts w:ascii="Segoe UI" w:eastAsia="Times New Roman" w:hAnsi="Segoe UI" w:cs="Segoe UI"/>
          <w:kern w:val="0"/>
          <w:lang w:eastAsia="en-GB"/>
          <w14:ligatures w14:val="none"/>
        </w:rPr>
        <w:t>multi-agency response to the recommendations.</w:t>
      </w:r>
      <w:r w:rsidR="00A4565A">
        <w:rPr>
          <w:rFonts w:ascii="Segoe UI" w:eastAsia="Times New Roman" w:hAnsi="Segoe UI" w:cs="Segoe UI"/>
          <w:kern w:val="0"/>
          <w:lang w:eastAsia="en-GB"/>
          <w14:ligatures w14:val="none"/>
        </w:rPr>
        <w:t xml:space="preserve">  </w:t>
      </w:r>
      <w:r w:rsidRPr="00717C01">
        <w:rPr>
          <w:rFonts w:ascii="Segoe UI" w:eastAsia="Times New Roman" w:hAnsi="Segoe UI" w:cs="Segoe UI"/>
          <w:kern w:val="0"/>
          <w:lang w:eastAsia="en-GB"/>
          <w14:ligatures w14:val="none"/>
        </w:rPr>
        <w:t>All partner agencies have contributed to a detailed action plan, and work is underway across the partnership to strengthen safeguarding practice.</w:t>
      </w:r>
    </w:p>
    <w:p w14:paraId="49B2F2BE" w14:textId="77777777" w:rsidR="00717C01" w:rsidRPr="00717C01" w:rsidRDefault="00717C01" w:rsidP="00717C01">
      <w:pPr>
        <w:pStyle w:val="Heading2"/>
        <w:rPr>
          <w:rFonts w:eastAsia="Times New Roman"/>
          <w:lang w:eastAsia="en-GB"/>
        </w:rPr>
      </w:pPr>
      <w:r w:rsidRPr="00717C01">
        <w:rPr>
          <w:rFonts w:eastAsia="Times New Roman"/>
          <w:lang w:eastAsia="en-GB"/>
        </w:rPr>
        <w:t>What has been done</w:t>
      </w:r>
    </w:p>
    <w:p w14:paraId="71174CD2" w14:textId="46EF969E" w:rsidR="00717C01" w:rsidRPr="00717C01" w:rsidRDefault="00717C01" w:rsidP="00A4565A">
      <w:pPr>
        <w:spacing w:after="0" w:line="240" w:lineRule="auto"/>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 xml:space="preserve">Since the review, </w:t>
      </w:r>
      <w:r w:rsidR="003832D5">
        <w:rPr>
          <w:rFonts w:ascii="Segoe UI" w:eastAsia="Times New Roman" w:hAnsi="Segoe UI" w:cs="Segoe UI"/>
          <w:kern w:val="0"/>
          <w:lang w:eastAsia="en-GB"/>
          <w14:ligatures w14:val="none"/>
        </w:rPr>
        <w:t>partners</w:t>
      </w:r>
      <w:r w:rsidRPr="00717C01">
        <w:rPr>
          <w:rFonts w:ascii="Segoe UI" w:eastAsia="Times New Roman" w:hAnsi="Segoe UI" w:cs="Segoe UI"/>
          <w:kern w:val="0"/>
          <w:lang w:eastAsia="en-GB"/>
          <w14:ligatures w14:val="none"/>
        </w:rPr>
        <w:t xml:space="preserve"> have taken the following actions:</w:t>
      </w:r>
    </w:p>
    <w:p w14:paraId="25EB006A" w14:textId="77777777" w:rsidR="00717C01" w:rsidRPr="00717C01" w:rsidRDefault="00717C01" w:rsidP="00A4565A">
      <w:pPr>
        <w:numPr>
          <w:ilvl w:val="0"/>
          <w:numId w:val="1"/>
        </w:numPr>
        <w:spacing w:after="100" w:afterAutospacing="1" w:line="240" w:lineRule="auto"/>
        <w:ind w:left="714" w:hanging="357"/>
        <w:rPr>
          <w:rFonts w:ascii="Segoe UI" w:eastAsia="Times New Roman" w:hAnsi="Segoe UI" w:cs="Segoe UI"/>
          <w:kern w:val="0"/>
          <w:lang w:eastAsia="en-GB"/>
          <w14:ligatures w14:val="none"/>
        </w:rPr>
      </w:pPr>
      <w:r w:rsidRPr="00717C01">
        <w:rPr>
          <w:rFonts w:ascii="Segoe UI" w:eastAsia="Times New Roman" w:hAnsi="Segoe UI" w:cs="Segoe UI"/>
          <w:b/>
          <w:bCs/>
          <w:kern w:val="0"/>
          <w:lang w:eastAsia="en-GB"/>
          <w14:ligatures w14:val="none"/>
        </w:rPr>
        <w:t>Improved training and practice</w:t>
      </w:r>
      <w:r w:rsidRPr="00717C01">
        <w:rPr>
          <w:rFonts w:ascii="Segoe UI" w:eastAsia="Times New Roman" w:hAnsi="Segoe UI" w:cs="Segoe UI"/>
          <w:kern w:val="0"/>
          <w:lang w:eastAsia="en-GB"/>
          <w14:ligatures w14:val="none"/>
        </w:rPr>
        <w:br/>
        <w:t>Staff across services have received training on trauma, safeguarding, exploitation, and working with people seeking asylum. This includes Care Act training, regional learning opportunities, and joint training on transitions to adulthood.</w:t>
      </w:r>
    </w:p>
    <w:p w14:paraId="5563502A" w14:textId="429150D6" w:rsidR="003832D5" w:rsidRDefault="00717C01" w:rsidP="003832D5">
      <w:pPr>
        <w:numPr>
          <w:ilvl w:val="0"/>
          <w:numId w:val="1"/>
        </w:numPr>
        <w:spacing w:after="0" w:line="240" w:lineRule="auto"/>
        <w:rPr>
          <w:rFonts w:ascii="Segoe UI" w:eastAsia="Times New Roman" w:hAnsi="Segoe UI" w:cs="Segoe UI"/>
          <w:kern w:val="0"/>
          <w:lang w:eastAsia="en-GB"/>
          <w14:ligatures w14:val="none"/>
        </w:rPr>
      </w:pPr>
      <w:r w:rsidRPr="00717C01">
        <w:rPr>
          <w:rFonts w:ascii="Segoe UI" w:eastAsia="Times New Roman" w:hAnsi="Segoe UI" w:cs="Segoe UI"/>
          <w:b/>
          <w:bCs/>
          <w:kern w:val="0"/>
          <w:lang w:eastAsia="en-GB"/>
          <w14:ligatures w14:val="none"/>
        </w:rPr>
        <w:t>Stronger support for young people seeking asylum</w:t>
      </w:r>
      <w:r w:rsidRPr="00717C01">
        <w:rPr>
          <w:rFonts w:ascii="Segoe UI" w:eastAsia="Times New Roman" w:hAnsi="Segoe UI" w:cs="Segoe UI"/>
          <w:kern w:val="0"/>
          <w:lang w:eastAsia="en-GB"/>
          <w14:ligatures w14:val="none"/>
        </w:rPr>
        <w:br/>
      </w:r>
      <w:r w:rsidR="003832D5" w:rsidRPr="003832D5">
        <w:rPr>
          <w:rFonts w:ascii="Segoe UI" w:eastAsia="Times New Roman" w:hAnsi="Segoe UI" w:cs="Segoe UI"/>
          <w:kern w:val="0"/>
          <w:lang w:eastAsia="en-GB"/>
          <w14:ligatures w14:val="none"/>
        </w:rPr>
        <w:t xml:space="preserve">Services working with children and young people have reviewed and strengthened how unaccompanied asylum-seeking children are assessed and </w:t>
      </w:r>
      <w:r w:rsidR="00A4565A">
        <w:rPr>
          <w:rFonts w:ascii="Segoe UI" w:eastAsia="Times New Roman" w:hAnsi="Segoe UI" w:cs="Segoe UI"/>
          <w:kern w:val="0"/>
          <w:lang w:eastAsia="en-GB"/>
          <w14:ligatures w14:val="none"/>
        </w:rPr>
        <w:t>s</w:t>
      </w:r>
      <w:r w:rsidR="003832D5" w:rsidRPr="003832D5">
        <w:rPr>
          <w:rFonts w:ascii="Segoe UI" w:eastAsia="Times New Roman" w:hAnsi="Segoe UI" w:cs="Segoe UI"/>
          <w:kern w:val="0"/>
          <w:lang w:eastAsia="en-GB"/>
          <w14:ligatures w14:val="none"/>
        </w:rPr>
        <w:t>upported, with a greater focus on trauma-informed approaches and lived experience.</w:t>
      </w:r>
    </w:p>
    <w:p w14:paraId="6EC57F75" w14:textId="3A84B0C4" w:rsidR="003832D5" w:rsidRPr="003832D5" w:rsidRDefault="003832D5" w:rsidP="003832D5">
      <w:pPr>
        <w:numPr>
          <w:ilvl w:val="0"/>
          <w:numId w:val="1"/>
        </w:numPr>
        <w:spacing w:after="0" w:line="240" w:lineRule="auto"/>
        <w:rPr>
          <w:rFonts w:ascii="Segoe UI" w:eastAsia="Times New Roman" w:hAnsi="Segoe UI" w:cs="Segoe UI"/>
          <w:kern w:val="0"/>
          <w:lang w:eastAsia="en-GB"/>
          <w14:ligatures w14:val="none"/>
        </w:rPr>
      </w:pPr>
      <w:r>
        <w:rPr>
          <w:rFonts w:ascii="Segoe UI" w:eastAsia="Times New Roman" w:hAnsi="Segoe UI" w:cs="Segoe UI"/>
          <w:b/>
          <w:bCs/>
          <w:kern w:val="0"/>
          <w:lang w:eastAsia="en-GB"/>
          <w14:ligatures w14:val="none"/>
        </w:rPr>
        <w:lastRenderedPageBreak/>
        <w:t>Stronger</w:t>
      </w:r>
      <w:r w:rsidR="00717C01" w:rsidRPr="00717C01">
        <w:rPr>
          <w:rFonts w:ascii="Segoe UI" w:eastAsia="Times New Roman" w:hAnsi="Segoe UI" w:cs="Segoe UI"/>
          <w:b/>
          <w:bCs/>
          <w:kern w:val="0"/>
          <w:lang w:eastAsia="en-GB"/>
          <w14:ligatures w14:val="none"/>
        </w:rPr>
        <w:t xml:space="preserve"> partnership working</w:t>
      </w:r>
      <w:r w:rsidR="00717C01" w:rsidRPr="00717C01">
        <w:rPr>
          <w:rFonts w:ascii="Segoe UI" w:eastAsia="Times New Roman" w:hAnsi="Segoe UI" w:cs="Segoe UI"/>
          <w:kern w:val="0"/>
          <w:lang w:eastAsia="en-GB"/>
          <w14:ligatures w14:val="none"/>
        </w:rPr>
        <w:br/>
      </w:r>
      <w:proofErr w:type="gramStart"/>
      <w:r>
        <w:rPr>
          <w:rFonts w:ascii="Segoe UI" w:eastAsia="Times New Roman" w:hAnsi="Segoe UI" w:cs="Segoe UI"/>
          <w:kern w:val="0"/>
          <w:lang w:eastAsia="en-GB"/>
          <w14:ligatures w14:val="none"/>
        </w:rPr>
        <w:t>M</w:t>
      </w:r>
      <w:r w:rsidRPr="003832D5">
        <w:rPr>
          <w:rFonts w:ascii="Segoe UI" w:eastAsia="Times New Roman" w:hAnsi="Segoe UI" w:cs="Segoe UI"/>
          <w:kern w:val="0"/>
          <w:lang w:eastAsia="en-GB"/>
          <w14:ligatures w14:val="none"/>
        </w:rPr>
        <w:t>ulti-</w:t>
      </w:r>
      <w:r>
        <w:rPr>
          <w:rFonts w:ascii="Segoe UI" w:eastAsia="Times New Roman" w:hAnsi="Segoe UI" w:cs="Segoe UI"/>
          <w:kern w:val="0"/>
          <w:lang w:eastAsia="en-GB"/>
          <w14:ligatures w14:val="none"/>
        </w:rPr>
        <w:t>agency</w:t>
      </w:r>
      <w:proofErr w:type="gramEnd"/>
      <w:r w:rsidRPr="003832D5">
        <w:rPr>
          <w:rFonts w:ascii="Segoe UI" w:eastAsia="Times New Roman" w:hAnsi="Segoe UI" w:cs="Segoe UI"/>
          <w:kern w:val="0"/>
          <w:lang w:eastAsia="en-GB"/>
          <w14:ligatures w14:val="none"/>
        </w:rPr>
        <w:t xml:space="preserve"> arrangements have been strengthened to support information sharing, joint planning, and coordinated care, including:</w:t>
      </w:r>
    </w:p>
    <w:p w14:paraId="29B7AA82" w14:textId="77777777" w:rsidR="003832D5" w:rsidRPr="003832D5" w:rsidRDefault="003832D5" w:rsidP="003832D5">
      <w:pPr>
        <w:numPr>
          <w:ilvl w:val="1"/>
          <w:numId w:val="1"/>
        </w:numPr>
        <w:spacing w:before="100" w:beforeAutospacing="1" w:after="100" w:afterAutospacing="1" w:line="300" w:lineRule="atLeast"/>
        <w:rPr>
          <w:rFonts w:ascii="Segoe UI" w:eastAsia="Times New Roman" w:hAnsi="Segoe UI" w:cs="Segoe UI"/>
          <w:kern w:val="0"/>
          <w:lang w:eastAsia="en-GB"/>
          <w14:ligatures w14:val="none"/>
        </w:rPr>
      </w:pPr>
      <w:r w:rsidRPr="003832D5">
        <w:rPr>
          <w:rFonts w:ascii="Segoe UI" w:eastAsia="Times New Roman" w:hAnsi="Segoe UI" w:cs="Segoe UI"/>
          <w:kern w:val="0"/>
          <w:lang w:eastAsia="en-GB"/>
          <w14:ligatures w14:val="none"/>
        </w:rPr>
        <w:t>Regular partnership meetings between education providers and statutory services</w:t>
      </w:r>
    </w:p>
    <w:p w14:paraId="06151293" w14:textId="77777777" w:rsidR="003832D5" w:rsidRPr="003832D5" w:rsidRDefault="003832D5" w:rsidP="003832D5">
      <w:pPr>
        <w:numPr>
          <w:ilvl w:val="1"/>
          <w:numId w:val="1"/>
        </w:numPr>
        <w:spacing w:before="100" w:beforeAutospacing="1" w:after="100" w:afterAutospacing="1" w:line="300" w:lineRule="atLeast"/>
        <w:rPr>
          <w:rFonts w:ascii="Segoe UI" w:eastAsia="Times New Roman" w:hAnsi="Segoe UI" w:cs="Segoe UI"/>
          <w:kern w:val="0"/>
          <w:lang w:eastAsia="en-GB"/>
          <w14:ligatures w14:val="none"/>
        </w:rPr>
      </w:pPr>
      <w:r w:rsidRPr="003832D5">
        <w:rPr>
          <w:rFonts w:ascii="Segoe UI" w:eastAsia="Times New Roman" w:hAnsi="Segoe UI" w:cs="Segoe UI"/>
          <w:kern w:val="0"/>
          <w:lang w:eastAsia="en-GB"/>
          <w14:ligatures w14:val="none"/>
        </w:rPr>
        <w:t>Multi-agency panels to support care leavers</w:t>
      </w:r>
    </w:p>
    <w:p w14:paraId="5A266213" w14:textId="77777777" w:rsidR="003832D5" w:rsidRDefault="003832D5" w:rsidP="003832D5">
      <w:pPr>
        <w:numPr>
          <w:ilvl w:val="1"/>
          <w:numId w:val="1"/>
        </w:numPr>
        <w:spacing w:before="100" w:beforeAutospacing="1" w:after="100" w:afterAutospacing="1" w:line="300" w:lineRule="atLeast"/>
        <w:rPr>
          <w:rFonts w:ascii="Segoe UI" w:eastAsia="Times New Roman" w:hAnsi="Segoe UI" w:cs="Segoe UI"/>
          <w:kern w:val="0"/>
          <w:lang w:eastAsia="en-GB"/>
          <w14:ligatures w14:val="none"/>
        </w:rPr>
      </w:pPr>
      <w:r w:rsidRPr="003832D5">
        <w:rPr>
          <w:rFonts w:ascii="Segoe UI" w:eastAsia="Times New Roman" w:hAnsi="Segoe UI" w:cs="Segoe UI"/>
          <w:kern w:val="0"/>
          <w:lang w:eastAsia="en-GB"/>
          <w14:ligatures w14:val="none"/>
        </w:rPr>
        <w:t>Closer working relationships with voluntary, community, and faith sector organisations</w:t>
      </w:r>
    </w:p>
    <w:p w14:paraId="4AD802F5" w14:textId="45F2928B" w:rsidR="00717C01" w:rsidRPr="00717C01" w:rsidRDefault="00717C01" w:rsidP="003832D5">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b/>
          <w:bCs/>
          <w:kern w:val="0"/>
          <w:lang w:eastAsia="en-GB"/>
          <w14:ligatures w14:val="none"/>
        </w:rPr>
        <w:t>Focus on exploitation and safeguarding risk</w:t>
      </w:r>
      <w:r w:rsidRPr="00717C01">
        <w:rPr>
          <w:rFonts w:ascii="Segoe UI" w:eastAsia="Times New Roman" w:hAnsi="Segoe UI" w:cs="Segoe UI"/>
          <w:kern w:val="0"/>
          <w:lang w:eastAsia="en-GB"/>
          <w14:ligatures w14:val="none"/>
        </w:rPr>
        <w:br/>
      </w:r>
      <w:r w:rsidR="003832D5">
        <w:rPr>
          <w:rFonts w:ascii="Segoe UI" w:eastAsia="Times New Roman" w:hAnsi="Segoe UI" w:cs="Segoe UI"/>
          <w:kern w:val="0"/>
          <w:lang w:eastAsia="en-GB"/>
          <w14:ligatures w14:val="none"/>
        </w:rPr>
        <w:t xml:space="preserve">Partners </w:t>
      </w:r>
      <w:r w:rsidRPr="00717C01">
        <w:rPr>
          <w:rFonts w:ascii="Segoe UI" w:eastAsia="Times New Roman" w:hAnsi="Segoe UI" w:cs="Segoe UI"/>
          <w:kern w:val="0"/>
          <w:lang w:eastAsia="en-GB"/>
          <w14:ligatures w14:val="none"/>
        </w:rPr>
        <w:t xml:space="preserve">have strengthened awareness, training, and internal processes to ensure risks such as exploitation and modern slavery are identified, recorded, and responded to </w:t>
      </w:r>
      <w:r w:rsidR="003832D5">
        <w:rPr>
          <w:rFonts w:ascii="Segoe UI" w:eastAsia="Times New Roman" w:hAnsi="Segoe UI" w:cs="Segoe UI"/>
          <w:kern w:val="0"/>
          <w:lang w:eastAsia="en-GB"/>
          <w14:ligatures w14:val="none"/>
        </w:rPr>
        <w:t>effectively</w:t>
      </w:r>
      <w:r w:rsidRPr="00717C01">
        <w:rPr>
          <w:rFonts w:ascii="Segoe UI" w:eastAsia="Times New Roman" w:hAnsi="Segoe UI" w:cs="Segoe UI"/>
          <w:kern w:val="0"/>
          <w:lang w:eastAsia="en-GB"/>
          <w14:ligatures w14:val="none"/>
        </w:rPr>
        <w:t>.</w:t>
      </w:r>
      <w:r w:rsidRPr="00717C01">
        <w:rPr>
          <w:rFonts w:ascii="Segoe UI" w:eastAsia="Times New Roman" w:hAnsi="Segoe UI" w:cs="Segoe UI"/>
          <w:kern w:val="0"/>
          <w:lang w:eastAsia="en-GB"/>
          <w14:ligatures w14:val="none"/>
        </w:rPr>
        <w:br/>
        <w:t>Audit activity is underway to improve the quality of safeguarding records.</w:t>
      </w:r>
    </w:p>
    <w:p w14:paraId="5BF63F01" w14:textId="16CCA988" w:rsidR="00717C01" w:rsidRPr="00717C01" w:rsidRDefault="00717C01" w:rsidP="00717C01">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b/>
          <w:bCs/>
          <w:kern w:val="0"/>
          <w:lang w:eastAsia="en-GB"/>
          <w14:ligatures w14:val="none"/>
        </w:rPr>
        <w:t>Improvements to mental health referrals</w:t>
      </w:r>
      <w:r w:rsidRPr="00717C01">
        <w:rPr>
          <w:rFonts w:ascii="Segoe UI" w:eastAsia="Times New Roman" w:hAnsi="Segoe UI" w:cs="Segoe UI"/>
          <w:kern w:val="0"/>
          <w:lang w:eastAsia="en-GB"/>
          <w14:ligatures w14:val="none"/>
        </w:rPr>
        <w:br/>
      </w:r>
      <w:r w:rsidR="003832D5" w:rsidRPr="003832D5">
        <w:rPr>
          <w:rFonts w:ascii="Segoe UI" w:eastAsia="Times New Roman" w:hAnsi="Segoe UI" w:cs="Segoe UI"/>
          <w:kern w:val="0"/>
          <w:lang w:eastAsia="en-GB"/>
          <w14:ligatures w14:val="none"/>
        </w:rPr>
        <w:t>Work is underway across health and partner organisations to strengthen how people access adult mental health services, including clearer referral processes and improved shared understanding of thresholds and pathways.</w:t>
      </w:r>
    </w:p>
    <w:p w14:paraId="1766C713" w14:textId="77777777" w:rsidR="00A4565A" w:rsidRDefault="00717C01" w:rsidP="006C48E6">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A4565A">
        <w:rPr>
          <w:rFonts w:ascii="Segoe UI" w:eastAsia="Times New Roman" w:hAnsi="Segoe UI" w:cs="Segoe UI"/>
          <w:b/>
          <w:bCs/>
          <w:kern w:val="0"/>
          <w:lang w:eastAsia="en-GB"/>
          <w14:ligatures w14:val="none"/>
        </w:rPr>
        <w:t>Ongoing audits and quality assurance</w:t>
      </w:r>
      <w:r w:rsidRPr="00A4565A">
        <w:rPr>
          <w:rFonts w:ascii="Segoe UI" w:eastAsia="Times New Roman" w:hAnsi="Segoe UI" w:cs="Segoe UI"/>
          <w:kern w:val="0"/>
          <w:lang w:eastAsia="en-GB"/>
          <w14:ligatures w14:val="none"/>
        </w:rPr>
        <w:br/>
      </w:r>
      <w:r w:rsidR="00A4565A">
        <w:rPr>
          <w:rFonts w:ascii="Segoe UI" w:eastAsia="Times New Roman" w:hAnsi="Segoe UI" w:cs="Segoe UI"/>
          <w:kern w:val="0"/>
          <w:lang w:eastAsia="en-GB"/>
          <w14:ligatures w14:val="none"/>
        </w:rPr>
        <w:t>P</w:t>
      </w:r>
      <w:r w:rsidR="00A4565A" w:rsidRPr="00A4565A">
        <w:rPr>
          <w:rFonts w:ascii="Segoe UI" w:eastAsia="Times New Roman" w:hAnsi="Segoe UI" w:cs="Segoe UI"/>
          <w:kern w:val="0"/>
          <w:lang w:eastAsia="en-GB"/>
          <w14:ligatures w14:val="none"/>
        </w:rPr>
        <w:t>artners have introduced regular audits of practice and planning, with learning shared across services to support continuous improvement.</w:t>
      </w:r>
    </w:p>
    <w:p w14:paraId="5F296DBE" w14:textId="411ECAC4" w:rsidR="00717C01" w:rsidRPr="00A4565A" w:rsidRDefault="00717C01" w:rsidP="006C48E6">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A4565A">
        <w:rPr>
          <w:rFonts w:ascii="Segoe UI" w:eastAsia="Times New Roman" w:hAnsi="Segoe UI" w:cs="Segoe UI"/>
          <w:b/>
          <w:bCs/>
          <w:kern w:val="0"/>
          <w:lang w:eastAsia="en-GB"/>
          <w14:ligatures w14:val="none"/>
        </w:rPr>
        <w:t>Increased focus on advocacy and support</w:t>
      </w:r>
      <w:r w:rsidRPr="00A4565A">
        <w:rPr>
          <w:rFonts w:ascii="Segoe UI" w:eastAsia="Times New Roman" w:hAnsi="Segoe UI" w:cs="Segoe UI"/>
          <w:kern w:val="0"/>
          <w:lang w:eastAsia="en-GB"/>
          <w14:ligatures w14:val="none"/>
        </w:rPr>
        <w:br/>
      </w:r>
      <w:r w:rsidR="00A4565A" w:rsidRPr="00A4565A">
        <w:rPr>
          <w:rFonts w:ascii="Segoe UI" w:eastAsia="Times New Roman" w:hAnsi="Segoe UI" w:cs="Segoe UI"/>
          <w:kern w:val="0"/>
          <w:lang w:eastAsia="en-GB"/>
          <w14:ligatures w14:val="none"/>
        </w:rPr>
        <w:t>Work is underway across the partnership to strengthen access to independent advocacy and support for young people, alongside developments within independent visiting services.</w:t>
      </w:r>
    </w:p>
    <w:p w14:paraId="2170ED08" w14:textId="77777777" w:rsidR="00717C01" w:rsidRPr="00717C01" w:rsidRDefault="00717C01" w:rsidP="00717C01">
      <w:pPr>
        <w:pStyle w:val="Heading2"/>
        <w:rPr>
          <w:rFonts w:eastAsia="Times New Roman"/>
          <w:lang w:eastAsia="en-GB"/>
        </w:rPr>
      </w:pPr>
      <w:r w:rsidRPr="00717C01">
        <w:rPr>
          <w:rFonts w:eastAsia="Times New Roman"/>
          <w:lang w:eastAsia="en-GB"/>
        </w:rPr>
        <w:t>How we will test improvement</w:t>
      </w:r>
    </w:p>
    <w:p w14:paraId="76647C70" w14:textId="4E43FC86" w:rsidR="00717C01" w:rsidRPr="00717C01" w:rsidRDefault="00717C01" w:rsidP="00A4565A">
      <w:pPr>
        <w:spacing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The Safeguarding Adults Board will continue to oversee this work and ensure that improvements lead to real changes in practice.</w:t>
      </w:r>
      <w:r w:rsidR="00A4565A">
        <w:rPr>
          <w:rFonts w:ascii="Segoe UI" w:eastAsia="Times New Roman" w:hAnsi="Segoe UI" w:cs="Segoe UI"/>
          <w:kern w:val="0"/>
          <w:lang w:eastAsia="en-GB"/>
          <w14:ligatures w14:val="none"/>
        </w:rPr>
        <w:t xml:space="preserve"> </w:t>
      </w:r>
      <w:r w:rsidRPr="00717C01">
        <w:rPr>
          <w:rFonts w:ascii="Segoe UI" w:eastAsia="Times New Roman" w:hAnsi="Segoe UI" w:cs="Segoe UI"/>
          <w:kern w:val="0"/>
          <w:lang w:eastAsia="en-GB"/>
          <w14:ligatures w14:val="none"/>
        </w:rPr>
        <w:t>This will include:</w:t>
      </w:r>
    </w:p>
    <w:p w14:paraId="0806D126" w14:textId="77777777" w:rsidR="00717C01" w:rsidRPr="00717C01" w:rsidRDefault="00717C01" w:rsidP="00717C01">
      <w:pPr>
        <w:numPr>
          <w:ilvl w:val="0"/>
          <w:numId w:val="3"/>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b/>
          <w:bCs/>
          <w:kern w:val="0"/>
          <w:lang w:eastAsia="en-GB"/>
          <w14:ligatures w14:val="none"/>
        </w:rPr>
        <w:t>Multi-agency Challenge Events</w:t>
      </w:r>
      <w:r w:rsidRPr="00717C01">
        <w:rPr>
          <w:rFonts w:ascii="Segoe UI" w:eastAsia="Times New Roman" w:hAnsi="Segoe UI" w:cs="Segoe UI"/>
          <w:kern w:val="0"/>
          <w:lang w:eastAsia="en-GB"/>
          <w14:ligatures w14:val="none"/>
        </w:rPr>
        <w:t xml:space="preserve"> to test how well learning from the review has been understood and embedded</w:t>
      </w:r>
    </w:p>
    <w:p w14:paraId="0892470B" w14:textId="77777777" w:rsidR="00717C01" w:rsidRPr="00717C01" w:rsidRDefault="00717C01" w:rsidP="00717C01">
      <w:pPr>
        <w:numPr>
          <w:ilvl w:val="0"/>
          <w:numId w:val="3"/>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 xml:space="preserve">Ongoing </w:t>
      </w:r>
      <w:r w:rsidRPr="00717C01">
        <w:rPr>
          <w:rFonts w:ascii="Segoe UI" w:eastAsia="Times New Roman" w:hAnsi="Segoe UI" w:cs="Segoe UI"/>
          <w:b/>
          <w:bCs/>
          <w:kern w:val="0"/>
          <w:lang w:eastAsia="en-GB"/>
          <w14:ligatures w14:val="none"/>
        </w:rPr>
        <w:t>audit and quality assurance activity</w:t>
      </w:r>
    </w:p>
    <w:p w14:paraId="6EBC3939" w14:textId="77777777" w:rsidR="00717C01" w:rsidRPr="00717C01" w:rsidRDefault="00717C01" w:rsidP="00717C01">
      <w:pPr>
        <w:numPr>
          <w:ilvl w:val="0"/>
          <w:numId w:val="3"/>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 xml:space="preserve">Monitoring of key indicators, for example: </w:t>
      </w:r>
    </w:p>
    <w:p w14:paraId="45EC43CE" w14:textId="77777777" w:rsidR="00717C01" w:rsidRPr="00717C01" w:rsidRDefault="00717C01" w:rsidP="00717C01">
      <w:pPr>
        <w:numPr>
          <w:ilvl w:val="1"/>
          <w:numId w:val="3"/>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The number of unaccompanied asylum-seeking children accessing independent advocacy, with an expectation that this will increase</w:t>
      </w:r>
    </w:p>
    <w:p w14:paraId="13F218AB" w14:textId="77777777" w:rsidR="00717C01" w:rsidRPr="00717C01" w:rsidRDefault="00717C01" w:rsidP="00717C01">
      <w:pPr>
        <w:numPr>
          <w:ilvl w:val="1"/>
          <w:numId w:val="3"/>
        </w:numPr>
        <w:spacing w:before="100" w:beforeAutospacing="1" w:after="100" w:afterAutospacing="1" w:line="300" w:lineRule="atLeast"/>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The quality of recording, assessment, and multi-agency working</w:t>
      </w:r>
    </w:p>
    <w:p w14:paraId="49A92200" w14:textId="77777777" w:rsidR="00717C01" w:rsidRPr="00717C01" w:rsidRDefault="00717C01" w:rsidP="00717C01">
      <w:pPr>
        <w:pStyle w:val="Heading2"/>
        <w:rPr>
          <w:rFonts w:eastAsia="Times New Roman"/>
          <w:lang w:eastAsia="en-GB"/>
        </w:rPr>
      </w:pPr>
      <w:r w:rsidRPr="00717C01">
        <w:rPr>
          <w:rFonts w:eastAsia="Times New Roman"/>
          <w:lang w:eastAsia="en-GB"/>
        </w:rPr>
        <w:t>Our commitment</w:t>
      </w:r>
    </w:p>
    <w:p w14:paraId="178478B9" w14:textId="337E6D44" w:rsidR="00A42940" w:rsidRPr="00A4565A" w:rsidRDefault="00717C01" w:rsidP="00A4565A">
      <w:pPr>
        <w:spacing w:after="100" w:afterAutospacing="1" w:line="240" w:lineRule="auto"/>
        <w:rPr>
          <w:rFonts w:ascii="Segoe UI" w:eastAsia="Times New Roman" w:hAnsi="Segoe UI" w:cs="Segoe UI"/>
          <w:kern w:val="0"/>
          <w:lang w:eastAsia="en-GB"/>
          <w14:ligatures w14:val="none"/>
        </w:rPr>
      </w:pPr>
      <w:r w:rsidRPr="00717C01">
        <w:rPr>
          <w:rFonts w:ascii="Segoe UI" w:eastAsia="Times New Roman" w:hAnsi="Segoe UI" w:cs="Segoe UI"/>
          <w:kern w:val="0"/>
          <w:lang w:eastAsia="en-GB"/>
          <w14:ligatures w14:val="none"/>
        </w:rPr>
        <w:t>The Board is committed to ensuring that learning from this review leads to stronger safeguarding practice across all agencies. Work will continue to ensure that improvements are embedded and sustained.</w:t>
      </w:r>
    </w:p>
    <w:sectPr w:rsidR="00A42940" w:rsidRPr="00A4565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1C17" w14:textId="77777777" w:rsidR="00F17955" w:rsidRDefault="00F17955" w:rsidP="00717C01">
      <w:pPr>
        <w:spacing w:after="0" w:line="240" w:lineRule="auto"/>
      </w:pPr>
      <w:r>
        <w:separator/>
      </w:r>
    </w:p>
  </w:endnote>
  <w:endnote w:type="continuationSeparator" w:id="0">
    <w:p w14:paraId="082A4943" w14:textId="77777777" w:rsidR="00F17955" w:rsidRDefault="00F17955" w:rsidP="007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23CC" w14:textId="77777777" w:rsidR="00F17955" w:rsidRDefault="00F17955" w:rsidP="00717C01">
      <w:pPr>
        <w:spacing w:after="0" w:line="240" w:lineRule="auto"/>
      </w:pPr>
      <w:r>
        <w:separator/>
      </w:r>
    </w:p>
  </w:footnote>
  <w:footnote w:type="continuationSeparator" w:id="0">
    <w:p w14:paraId="5B72F780" w14:textId="77777777" w:rsidR="00F17955" w:rsidRDefault="00F17955" w:rsidP="00717C01">
      <w:pPr>
        <w:spacing w:after="0" w:line="240" w:lineRule="auto"/>
      </w:pPr>
      <w:r>
        <w:continuationSeparator/>
      </w:r>
    </w:p>
  </w:footnote>
  <w:footnote w:id="1">
    <w:p w14:paraId="40439CD1" w14:textId="77777777" w:rsidR="003832D5" w:rsidRPr="00A4565A" w:rsidRDefault="003832D5" w:rsidP="003832D5">
      <w:pPr>
        <w:pStyle w:val="ListParagraph"/>
        <w:numPr>
          <w:ilvl w:val="0"/>
          <w:numId w:val="4"/>
        </w:numPr>
        <w:spacing w:after="0" w:line="240" w:lineRule="auto"/>
        <w:contextualSpacing w:val="0"/>
        <w:rPr>
          <w:rFonts w:ascii="Aptos" w:eastAsia="Times New Roman" w:hAnsi="Aptos" w:cs="Aptos"/>
          <w:kern w:val="0"/>
          <w:sz w:val="18"/>
          <w:szCs w:val="18"/>
        </w:rPr>
      </w:pPr>
      <w:r w:rsidRPr="00A4565A">
        <w:rPr>
          <w:rStyle w:val="FootnoteReference"/>
          <w:sz w:val="20"/>
          <w:szCs w:val="20"/>
        </w:rPr>
        <w:footnoteRef/>
      </w:r>
      <w:r w:rsidRPr="00A4565A">
        <w:rPr>
          <w:sz w:val="20"/>
          <w:szCs w:val="20"/>
        </w:rPr>
        <w:t xml:space="preserve"> </w:t>
      </w:r>
      <w:r w:rsidRPr="00A4565A">
        <w:rPr>
          <w:rFonts w:ascii="Aptos" w:eastAsia="Times New Roman" w:hAnsi="Aptos" w:cs="Aptos"/>
          <w:kern w:val="0"/>
          <w:sz w:val="18"/>
          <w:szCs w:val="18"/>
        </w:rPr>
        <w:t xml:space="preserve">Suicide is one of the leading causes of death in children and young people. </w:t>
      </w:r>
      <w:hyperlink r:id="rId1" w:history="1">
        <w:r w:rsidRPr="00A4565A">
          <w:rPr>
            <w:rFonts w:ascii="Aptos" w:eastAsia="Times New Roman" w:hAnsi="Aptos" w:cs="Aptos"/>
            <w:color w:val="0000FF"/>
            <w:kern w:val="0"/>
            <w:sz w:val="18"/>
            <w:szCs w:val="18"/>
            <w:u w:val="single"/>
          </w:rPr>
          <w:t>Risk factors for suicide in children and young people in England - Office for National Statistics</w:t>
        </w:r>
      </w:hyperlink>
    </w:p>
    <w:p w14:paraId="7CE3CE3F" w14:textId="5E7ED754" w:rsidR="003832D5" w:rsidRPr="003832D5" w:rsidRDefault="003832D5" w:rsidP="003832D5">
      <w:pPr>
        <w:numPr>
          <w:ilvl w:val="0"/>
          <w:numId w:val="4"/>
        </w:numPr>
        <w:spacing w:after="0" w:line="300" w:lineRule="atLeast"/>
        <w:rPr>
          <w:rFonts w:ascii="Segoe UI" w:eastAsia="Times New Roman" w:hAnsi="Segoe UI" w:cs="Segoe UI"/>
          <w:kern w:val="0"/>
          <w:sz w:val="18"/>
          <w:szCs w:val="18"/>
          <w:lang w:eastAsia="en-GB"/>
          <w14:ligatures w14:val="none"/>
        </w:rPr>
      </w:pPr>
      <w:r w:rsidRPr="003832D5">
        <w:rPr>
          <w:rFonts w:ascii="Segoe UI" w:eastAsia="Times New Roman" w:hAnsi="Segoe UI" w:cs="Segoe UI"/>
          <w:kern w:val="0"/>
          <w:sz w:val="18"/>
          <w:szCs w:val="18"/>
          <w:lang w:eastAsia="en-GB"/>
          <w14:ligatures w14:val="none"/>
        </w:rPr>
        <w:t>In England, the suicide rate for 10–24</w:t>
      </w:r>
      <w:r w:rsidRPr="003832D5">
        <w:rPr>
          <w:rFonts w:ascii="Segoe UI" w:eastAsia="Times New Roman" w:hAnsi="Segoe UI" w:cs="Segoe UI"/>
          <w:kern w:val="0"/>
          <w:sz w:val="18"/>
          <w:szCs w:val="18"/>
          <w:lang w:eastAsia="en-GB"/>
          <w14:ligatures w14:val="none"/>
        </w:rPr>
        <w:noBreakHyphen/>
        <w:t>year</w:t>
      </w:r>
      <w:r w:rsidRPr="003832D5">
        <w:rPr>
          <w:rFonts w:ascii="Segoe UI" w:eastAsia="Times New Roman" w:hAnsi="Segoe UI" w:cs="Segoe UI"/>
          <w:kern w:val="0"/>
          <w:sz w:val="18"/>
          <w:szCs w:val="18"/>
          <w:lang w:eastAsia="en-GB"/>
          <w14:ligatures w14:val="none"/>
        </w:rPr>
        <w:noBreakHyphen/>
        <w:t xml:space="preserve">olds increased by 23% between 2012–2016 and 2018–2022 </w:t>
      </w:r>
      <w:hyperlink r:id="rId2" w:history="1">
        <w:r w:rsidRPr="003832D5">
          <w:rPr>
            <w:rFonts w:ascii="Segoe UI" w:eastAsia="Times New Roman" w:hAnsi="Segoe UI" w:cs="Segoe UI"/>
            <w:color w:val="0000FF"/>
            <w:kern w:val="0"/>
            <w:sz w:val="18"/>
            <w:szCs w:val="18"/>
            <w:u w:val="single"/>
            <w:lang w:eastAsia="en-GB"/>
            <w14:ligatures w14:val="none"/>
          </w:rPr>
          <w:t>Statistical commentary: suicide prevention profile, May 2024 update - GOV.UK</w:t>
        </w:r>
      </w:hyperlink>
    </w:p>
    <w:p w14:paraId="525F6E8A" w14:textId="4A6C3C4D" w:rsidR="003832D5" w:rsidRDefault="003832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AE8F" w14:textId="5B2A0D21" w:rsidR="00717C01" w:rsidRDefault="00717C01" w:rsidP="00B06F50">
    <w:pPr>
      <w:pStyle w:val="Header"/>
      <w:jc w:val="right"/>
    </w:pPr>
    <w:r>
      <w:rPr>
        <w:noProof/>
        <w:lang w:eastAsia="en-GB"/>
      </w:rPr>
      <w:drawing>
        <wp:inline distT="0" distB="0" distL="0" distR="0" wp14:anchorId="774688CC" wp14:editId="6164AC7D">
          <wp:extent cx="1468126" cy="534155"/>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1"/>
                  <a:stretch>
                    <a:fillRect/>
                  </a:stretch>
                </pic:blipFill>
                <pic:spPr>
                  <a:xfrm>
                    <a:off x="0" y="0"/>
                    <a:ext cx="1477099" cy="53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0487E"/>
    <w:multiLevelType w:val="multilevel"/>
    <w:tmpl w:val="3F38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20352"/>
    <w:multiLevelType w:val="multilevel"/>
    <w:tmpl w:val="3F3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E165A"/>
    <w:multiLevelType w:val="hybridMultilevel"/>
    <w:tmpl w:val="8760DC98"/>
    <w:lvl w:ilvl="0" w:tplc="E2F67AD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E8340B0"/>
    <w:multiLevelType w:val="multilevel"/>
    <w:tmpl w:val="3F38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834127">
    <w:abstractNumId w:val="3"/>
  </w:num>
  <w:num w:numId="2" w16cid:durableId="306905572">
    <w:abstractNumId w:val="1"/>
  </w:num>
  <w:num w:numId="3" w16cid:durableId="1470829896">
    <w:abstractNumId w:val="0"/>
  </w:num>
  <w:num w:numId="4" w16cid:durableId="15037154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01"/>
    <w:rsid w:val="003832D5"/>
    <w:rsid w:val="00717C01"/>
    <w:rsid w:val="00915921"/>
    <w:rsid w:val="00A42940"/>
    <w:rsid w:val="00A4565A"/>
    <w:rsid w:val="00A55EC9"/>
    <w:rsid w:val="00B06F50"/>
    <w:rsid w:val="00D06625"/>
    <w:rsid w:val="00EE46D0"/>
    <w:rsid w:val="00F17955"/>
    <w:rsid w:val="00FB4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C18"/>
  <w15:chartTrackingRefBased/>
  <w15:docId w15:val="{44EB9150-1669-4A74-AF8B-4691CEE9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01"/>
    <w:rPr>
      <w:rFonts w:eastAsiaTheme="majorEastAsia" w:cstheme="majorBidi"/>
      <w:color w:val="272727" w:themeColor="text1" w:themeTint="D8"/>
    </w:rPr>
  </w:style>
  <w:style w:type="paragraph" w:styleId="Title">
    <w:name w:val="Title"/>
    <w:basedOn w:val="Normal"/>
    <w:next w:val="Normal"/>
    <w:link w:val="TitleChar"/>
    <w:uiPriority w:val="10"/>
    <w:qFormat/>
    <w:rsid w:val="00717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01"/>
    <w:pPr>
      <w:spacing w:before="160"/>
      <w:jc w:val="center"/>
    </w:pPr>
    <w:rPr>
      <w:i/>
      <w:iCs/>
      <w:color w:val="404040" w:themeColor="text1" w:themeTint="BF"/>
    </w:rPr>
  </w:style>
  <w:style w:type="character" w:customStyle="1" w:styleId="QuoteChar">
    <w:name w:val="Quote Char"/>
    <w:basedOn w:val="DefaultParagraphFont"/>
    <w:link w:val="Quote"/>
    <w:uiPriority w:val="29"/>
    <w:rsid w:val="00717C01"/>
    <w:rPr>
      <w:i/>
      <w:iCs/>
      <w:color w:val="404040" w:themeColor="text1" w:themeTint="BF"/>
    </w:rPr>
  </w:style>
  <w:style w:type="paragraph" w:styleId="ListParagraph">
    <w:name w:val="List Paragraph"/>
    <w:basedOn w:val="Normal"/>
    <w:uiPriority w:val="34"/>
    <w:qFormat/>
    <w:rsid w:val="00717C01"/>
    <w:pPr>
      <w:ind w:left="720"/>
      <w:contextualSpacing/>
    </w:pPr>
  </w:style>
  <w:style w:type="character" w:styleId="IntenseEmphasis">
    <w:name w:val="Intense Emphasis"/>
    <w:basedOn w:val="DefaultParagraphFont"/>
    <w:uiPriority w:val="21"/>
    <w:qFormat/>
    <w:rsid w:val="00717C01"/>
    <w:rPr>
      <w:i/>
      <w:iCs/>
      <w:color w:val="0F4761" w:themeColor="accent1" w:themeShade="BF"/>
    </w:rPr>
  </w:style>
  <w:style w:type="paragraph" w:styleId="IntenseQuote">
    <w:name w:val="Intense Quote"/>
    <w:basedOn w:val="Normal"/>
    <w:next w:val="Normal"/>
    <w:link w:val="IntenseQuoteChar"/>
    <w:uiPriority w:val="30"/>
    <w:qFormat/>
    <w:rsid w:val="00717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C01"/>
    <w:rPr>
      <w:i/>
      <w:iCs/>
      <w:color w:val="0F4761" w:themeColor="accent1" w:themeShade="BF"/>
    </w:rPr>
  </w:style>
  <w:style w:type="character" w:styleId="IntenseReference">
    <w:name w:val="Intense Reference"/>
    <w:basedOn w:val="DefaultParagraphFont"/>
    <w:uiPriority w:val="32"/>
    <w:qFormat/>
    <w:rsid w:val="00717C01"/>
    <w:rPr>
      <w:b/>
      <w:bCs/>
      <w:smallCaps/>
      <w:color w:val="0F4761" w:themeColor="accent1" w:themeShade="BF"/>
      <w:spacing w:val="5"/>
    </w:rPr>
  </w:style>
  <w:style w:type="paragraph" w:styleId="NormalWeb">
    <w:name w:val="Normal (Web)"/>
    <w:basedOn w:val="Normal"/>
    <w:uiPriority w:val="99"/>
    <w:unhideWhenUsed/>
    <w:rsid w:val="00717C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17C01"/>
    <w:rPr>
      <w:b/>
      <w:bCs/>
    </w:rPr>
  </w:style>
  <w:style w:type="paragraph" w:styleId="Header">
    <w:name w:val="header"/>
    <w:basedOn w:val="Normal"/>
    <w:link w:val="HeaderChar"/>
    <w:uiPriority w:val="99"/>
    <w:unhideWhenUsed/>
    <w:rsid w:val="00717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C01"/>
  </w:style>
  <w:style w:type="paragraph" w:styleId="Footer">
    <w:name w:val="footer"/>
    <w:basedOn w:val="Normal"/>
    <w:link w:val="FooterChar"/>
    <w:uiPriority w:val="99"/>
    <w:unhideWhenUsed/>
    <w:rsid w:val="00717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C01"/>
  </w:style>
  <w:style w:type="paragraph" w:styleId="FootnoteText">
    <w:name w:val="footnote text"/>
    <w:basedOn w:val="Normal"/>
    <w:link w:val="FootnoteTextChar"/>
    <w:uiPriority w:val="99"/>
    <w:semiHidden/>
    <w:unhideWhenUsed/>
    <w:rsid w:val="00383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D5"/>
    <w:rPr>
      <w:sz w:val="20"/>
      <w:szCs w:val="20"/>
    </w:rPr>
  </w:style>
  <w:style w:type="character" w:styleId="FootnoteReference">
    <w:name w:val="footnote reference"/>
    <w:basedOn w:val="DefaultParagraphFont"/>
    <w:uiPriority w:val="99"/>
    <w:semiHidden/>
    <w:unhideWhenUsed/>
    <w:rsid w:val="00383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925">
      <w:bodyDiv w:val="1"/>
      <w:marLeft w:val="0"/>
      <w:marRight w:val="0"/>
      <w:marTop w:val="0"/>
      <w:marBottom w:val="0"/>
      <w:divBdr>
        <w:top w:val="none" w:sz="0" w:space="0" w:color="auto"/>
        <w:left w:val="none" w:sz="0" w:space="0" w:color="auto"/>
        <w:bottom w:val="none" w:sz="0" w:space="0" w:color="auto"/>
        <w:right w:val="none" w:sz="0" w:space="0" w:color="auto"/>
      </w:divBdr>
      <w:divsChild>
        <w:div w:id="244729254">
          <w:marLeft w:val="0"/>
          <w:marRight w:val="0"/>
          <w:marTop w:val="0"/>
          <w:marBottom w:val="0"/>
          <w:divBdr>
            <w:top w:val="none" w:sz="0" w:space="0" w:color="auto"/>
            <w:left w:val="none" w:sz="0" w:space="0" w:color="auto"/>
            <w:bottom w:val="none" w:sz="0" w:space="0" w:color="auto"/>
            <w:right w:val="none" w:sz="0" w:space="0" w:color="auto"/>
          </w:divBdr>
        </w:div>
      </w:divsChild>
    </w:div>
    <w:div w:id="899049985">
      <w:bodyDiv w:val="1"/>
      <w:marLeft w:val="0"/>
      <w:marRight w:val="0"/>
      <w:marTop w:val="0"/>
      <w:marBottom w:val="0"/>
      <w:divBdr>
        <w:top w:val="none" w:sz="0" w:space="0" w:color="auto"/>
        <w:left w:val="none" w:sz="0" w:space="0" w:color="auto"/>
        <w:bottom w:val="none" w:sz="0" w:space="0" w:color="auto"/>
        <w:right w:val="none" w:sz="0" w:space="0" w:color="auto"/>
      </w:divBdr>
    </w:div>
    <w:div w:id="1200706312">
      <w:bodyDiv w:val="1"/>
      <w:marLeft w:val="0"/>
      <w:marRight w:val="0"/>
      <w:marTop w:val="0"/>
      <w:marBottom w:val="0"/>
      <w:divBdr>
        <w:top w:val="none" w:sz="0" w:space="0" w:color="auto"/>
        <w:left w:val="none" w:sz="0" w:space="0" w:color="auto"/>
        <w:bottom w:val="none" w:sz="0" w:space="0" w:color="auto"/>
        <w:right w:val="none" w:sz="0" w:space="0" w:color="auto"/>
      </w:divBdr>
      <w:divsChild>
        <w:div w:id="110323517">
          <w:marLeft w:val="0"/>
          <w:marRight w:val="0"/>
          <w:marTop w:val="0"/>
          <w:marBottom w:val="0"/>
          <w:divBdr>
            <w:top w:val="none" w:sz="0" w:space="0" w:color="auto"/>
            <w:left w:val="none" w:sz="0" w:space="0" w:color="auto"/>
            <w:bottom w:val="none" w:sz="0" w:space="0" w:color="auto"/>
            <w:right w:val="none" w:sz="0" w:space="0" w:color="auto"/>
          </w:divBdr>
        </w:div>
      </w:divsChild>
    </w:div>
    <w:div w:id="1415779824">
      <w:bodyDiv w:val="1"/>
      <w:marLeft w:val="0"/>
      <w:marRight w:val="0"/>
      <w:marTop w:val="0"/>
      <w:marBottom w:val="0"/>
      <w:divBdr>
        <w:top w:val="none" w:sz="0" w:space="0" w:color="auto"/>
        <w:left w:val="none" w:sz="0" w:space="0" w:color="auto"/>
        <w:bottom w:val="none" w:sz="0" w:space="0" w:color="auto"/>
        <w:right w:val="none" w:sz="0" w:space="0" w:color="auto"/>
      </w:divBdr>
      <w:divsChild>
        <w:div w:id="1134834407">
          <w:marLeft w:val="0"/>
          <w:marRight w:val="0"/>
          <w:marTop w:val="0"/>
          <w:marBottom w:val="0"/>
          <w:divBdr>
            <w:top w:val="none" w:sz="0" w:space="0" w:color="auto"/>
            <w:left w:val="none" w:sz="0" w:space="0" w:color="auto"/>
            <w:bottom w:val="none" w:sz="0" w:space="0" w:color="auto"/>
            <w:right w:val="none" w:sz="0" w:space="0" w:color="auto"/>
          </w:divBdr>
        </w:div>
      </w:divsChild>
    </w:div>
    <w:div w:id="2072340504">
      <w:bodyDiv w:val="1"/>
      <w:marLeft w:val="0"/>
      <w:marRight w:val="0"/>
      <w:marTop w:val="0"/>
      <w:marBottom w:val="0"/>
      <w:divBdr>
        <w:top w:val="none" w:sz="0" w:space="0" w:color="auto"/>
        <w:left w:val="none" w:sz="0" w:space="0" w:color="auto"/>
        <w:bottom w:val="none" w:sz="0" w:space="0" w:color="auto"/>
        <w:right w:val="none" w:sz="0" w:space="0" w:color="auto"/>
      </w:divBdr>
      <w:divsChild>
        <w:div w:id="196168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br01.safelinks.protection.outlook.com/?url=https%3A%2F%2Fwww.gov.uk%2Fgovernment%2Fstatistics%2Fsuicide-prevention-profile-updates%2Fstatistical-commentary-suicide-prevention-profile-may-2024-update&amp;data=05%7C02%7CJulia.Caldwell%40calderdale.gov.uk%7Cca39765addcb42d4d42308deb57caeea%7C07162ea21b0e498fbb555b41fd4dce4f%7C1%7C0%7C639147744281457769%7CUnknown%7CTWFpbGZsb3d8eyJFbXB0eU1hcGkiOnRydWUsIlYiOiIwLjAuMDAwMCIsIlAiOiJXaW4zMiIsIkFOIjoiTWFpbCIsIldUIjoyfQ%3D%3D%7C0%7C%7C%7C&amp;sdata=xUsinjyYoGtQ65qgrCs1w3qyxu6GfHjipAzO0jvQG%2Bk%3D&amp;reserved=0" TargetMode="External"/><Relationship Id="rId1" Type="http://schemas.openxmlformats.org/officeDocument/2006/relationships/hyperlink" Target="https://gbr01.safelinks.protection.outlook.com/?url=https%3A%2F%2Fwww.ons.gov.uk%2Fpeoplepopulationandcommunity%2Fhealthandsocialcare%2Fmentalhealth%2Farticles%2Friskfactorsforsuicideinchildrenandyoungpeopleinengland%2F2025-02-27&amp;data=05%7C02%7CJulia.Caldwell%40calderdale.gov.uk%7Cca39765addcb42d4d42308deb57caeea%7C07162ea21b0e498fbb555b41fd4dce4f%7C1%7C0%7C639147744281436609%7CUnknown%7CTWFpbGZsb3d8eyJFbXB0eU1hcGkiOnRydWUsIlYiOiIwLjAuMDAwMCIsIlAiOiJXaW4zMiIsIkFOIjoiTWFpbCIsIldUIjoyfQ%3D%3D%7C0%7C%7C%7C&amp;sdata=xOnxbo2DB0ptS9DgI5WWZZ0S5SeR%2FpGA0L%2FepRKWEOs%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CB2D-1977-4C5D-B315-51A0B9EE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Caldwell</dc:creator>
  <cp:keywords/>
  <dc:description/>
  <cp:lastModifiedBy>Julia Caldwell</cp:lastModifiedBy>
  <cp:revision>2</cp:revision>
  <dcterms:created xsi:type="dcterms:W3CDTF">2026-05-21T12:57:00Z</dcterms:created>
  <dcterms:modified xsi:type="dcterms:W3CDTF">2026-05-21T12:57:00Z</dcterms:modified>
</cp:coreProperties>
</file>