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F9EB"/>
  <w:body>
    <w:p w14:paraId="63631513" w14:textId="7E00569B" w:rsidR="00FF7BDC" w:rsidRPr="00B70A1B" w:rsidRDefault="00BB54AF" w:rsidP="00B9798F">
      <w:pPr>
        <w:pStyle w:val="Heading1"/>
        <w:shd w:val="clear" w:color="auto" w:fill="196B24" w:themeFill="accent3"/>
        <w:spacing w:before="120"/>
        <w:jc w:val="center"/>
        <w:rPr>
          <w:rFonts w:eastAsia="Times New Roman"/>
          <w:b/>
          <w:bCs/>
          <w:color w:val="FFFFFF" w:themeColor="background1"/>
          <w:lang w:eastAsia="en-GB"/>
        </w:rPr>
      </w:pPr>
      <w:r w:rsidRPr="00B70A1B">
        <w:rPr>
          <w:rFonts w:eastAsia="Times New Roman"/>
          <w:b/>
          <w:bCs/>
          <w:noProof/>
          <w:color w:val="FFFFFF" w:themeColor="background1"/>
          <w:lang w:eastAsia="en-GB"/>
        </w:rPr>
        <w:drawing>
          <wp:anchor distT="0" distB="0" distL="114300" distR="114300" simplePos="0" relativeHeight="251658240" behindDoc="0" locked="0" layoutInCell="1" allowOverlap="1" wp14:anchorId="27BDCA5C" wp14:editId="2B8A7EB0">
            <wp:simplePos x="0" y="0"/>
            <wp:positionH relativeFrom="column">
              <wp:posOffset>2011680</wp:posOffset>
            </wp:positionH>
            <wp:positionV relativeFrom="page">
              <wp:posOffset>166370</wp:posOffset>
            </wp:positionV>
            <wp:extent cx="2057400" cy="747395"/>
            <wp:effectExtent l="0" t="0" r="0" b="0"/>
            <wp:wrapSquare wrapText="bothSides"/>
            <wp:docPr id="329467309" name="Picture 1" descr="A black background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67309" name="Picture 1" descr="A black background with blue and green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057400" cy="747395"/>
                    </a:xfrm>
                    <a:prstGeom prst="rect">
                      <a:avLst/>
                    </a:prstGeom>
                  </pic:spPr>
                </pic:pic>
              </a:graphicData>
            </a:graphic>
            <wp14:sizeRelH relativeFrom="page">
              <wp14:pctWidth>0</wp14:pctWidth>
            </wp14:sizeRelH>
            <wp14:sizeRelV relativeFrom="page">
              <wp14:pctHeight>0</wp14:pctHeight>
            </wp14:sizeRelV>
          </wp:anchor>
        </w:drawing>
      </w:r>
      <w:r w:rsidR="00FF7BDC" w:rsidRPr="00B70A1B">
        <w:rPr>
          <w:rFonts w:eastAsia="Times New Roman"/>
          <w:b/>
          <w:bCs/>
          <w:color w:val="FFFFFF" w:themeColor="background1"/>
          <w:lang w:eastAsia="en-GB"/>
        </w:rPr>
        <w:t>Keeping Adults Safe in Calderdale</w:t>
      </w:r>
      <w:r w:rsidRPr="00B70A1B">
        <w:rPr>
          <w:rFonts w:eastAsia="Times New Roman"/>
          <w:b/>
          <w:bCs/>
          <w:color w:val="FFFFFF" w:themeColor="background1"/>
          <w:lang w:eastAsia="en-GB"/>
        </w:rPr>
        <w:t xml:space="preserve"> </w:t>
      </w:r>
      <w:r w:rsidR="00B70A1B">
        <w:rPr>
          <w:rFonts w:eastAsia="Times New Roman"/>
          <w:b/>
          <w:bCs/>
          <w:color w:val="FFFFFF" w:themeColor="background1"/>
          <w:lang w:eastAsia="en-GB"/>
        </w:rPr>
        <w:br/>
      </w:r>
      <w:r w:rsidR="00FF7BDC" w:rsidRPr="00B70A1B">
        <w:rPr>
          <w:rFonts w:eastAsia="Times New Roman"/>
          <w:b/>
          <w:bCs/>
          <w:color w:val="FFFFFF" w:themeColor="background1"/>
          <w:lang w:eastAsia="en-GB"/>
        </w:rPr>
        <w:t>Annual Report Summary 2024–2025</w:t>
      </w:r>
    </w:p>
    <w:p w14:paraId="0F404E6F" w14:textId="68C86DF4" w:rsidR="00FF7BDC" w:rsidRPr="00B9798F" w:rsidRDefault="00FF7BDC" w:rsidP="00B9798F">
      <w:pPr>
        <w:spacing w:before="100" w:beforeAutospacing="1" w:after="100" w:afterAutospacing="1" w:line="240" w:lineRule="auto"/>
        <w:rPr>
          <w:rFonts w:eastAsia="Times New Roman" w:cs="Calibri"/>
          <w:kern w:val="0"/>
          <w:lang w:eastAsia="en-GB"/>
          <w14:ligatures w14:val="none"/>
        </w:rPr>
      </w:pPr>
      <w:r w:rsidRPr="00B9798F">
        <w:rPr>
          <w:rFonts w:eastAsia="Times New Roman" w:cs="Calibri"/>
          <w:kern w:val="0"/>
          <w:lang w:eastAsia="en-GB"/>
          <w14:ligatures w14:val="none"/>
        </w:rPr>
        <w:t xml:space="preserve">The </w:t>
      </w:r>
      <w:r w:rsidRPr="00B9798F">
        <w:rPr>
          <w:rFonts w:eastAsia="Times New Roman" w:cs="Calibri"/>
          <w:b/>
          <w:bCs/>
          <w:kern w:val="0"/>
          <w:lang w:eastAsia="en-GB"/>
          <w14:ligatures w14:val="none"/>
        </w:rPr>
        <w:t>Calderdale Safeguarding Adults Board (CSAB)</w:t>
      </w:r>
      <w:r w:rsidRPr="00B9798F">
        <w:rPr>
          <w:rFonts w:eastAsia="Times New Roman" w:cs="Calibri"/>
          <w:kern w:val="0"/>
          <w:lang w:eastAsia="en-GB"/>
          <w14:ligatures w14:val="none"/>
        </w:rPr>
        <w:t xml:space="preserve"> brings together organisations like the Council, Police, NHS, and voluntary services to protect adults who may be at risk of abuse or neglect.  This year, the Board has made real progress in improving how adults are safeguarded in Calderdale, while also recognising there’s more work to do.</w:t>
      </w:r>
    </w:p>
    <w:p w14:paraId="2CF79D4C" w14:textId="77777777" w:rsidR="00FF7BDC" w:rsidRPr="00B9798F" w:rsidRDefault="00FF7BDC" w:rsidP="00B70A1B">
      <w:pPr>
        <w:pStyle w:val="Heading2"/>
        <w:rPr>
          <w:rFonts w:asciiTheme="minorHAnsi" w:eastAsia="Times New Roman" w:hAnsiTheme="minorHAnsi"/>
          <w:b/>
          <w:bCs/>
          <w:color w:val="auto"/>
          <w:lang w:eastAsia="en-GB"/>
        </w:rPr>
      </w:pPr>
      <w:r w:rsidRPr="00B9798F">
        <w:rPr>
          <w:rFonts w:asciiTheme="minorHAnsi" w:eastAsia="Times New Roman" w:hAnsiTheme="minorHAnsi"/>
          <w:b/>
          <w:bCs/>
          <w:color w:val="auto"/>
          <w:lang w:eastAsia="en-GB"/>
        </w:rPr>
        <w:t>What’s Gone Well</w:t>
      </w:r>
    </w:p>
    <w:p w14:paraId="77AC64CD" w14:textId="47FC57FD" w:rsidR="00FF7BDC" w:rsidRPr="00B9798F" w:rsidRDefault="00FF7BDC" w:rsidP="00B9798F">
      <w:pPr>
        <w:pStyle w:val="ListParagraph"/>
        <w:numPr>
          <w:ilvl w:val="0"/>
          <w:numId w:val="3"/>
        </w:numPr>
        <w:spacing w:before="120" w:after="0"/>
        <w:ind w:left="357" w:hanging="357"/>
        <w:contextualSpacing w:val="0"/>
        <w:rPr>
          <w:lang w:eastAsia="en-GB"/>
        </w:rPr>
      </w:pPr>
      <w:r w:rsidRPr="00B9798F">
        <w:rPr>
          <w:b/>
          <w:bCs/>
          <w:lang w:eastAsia="en-GB"/>
        </w:rPr>
        <w:t>Fewer but Better-Focused Safeguarding Referrals</w:t>
      </w:r>
      <w:r w:rsidRPr="00B9798F">
        <w:rPr>
          <w:lang w:eastAsia="en-GB"/>
        </w:rPr>
        <w:br/>
        <w:t xml:space="preserve">Thanks to new </w:t>
      </w:r>
      <w:hyperlink r:id="rId7" w:history="1">
        <w:r w:rsidRPr="00B9798F">
          <w:rPr>
            <w:rStyle w:val="Hyperlink"/>
            <w:i/>
            <w:iCs/>
            <w:lang w:eastAsia="en-GB"/>
          </w:rPr>
          <w:t>Thresholds Guidance</w:t>
        </w:r>
      </w:hyperlink>
      <w:r w:rsidRPr="00B9798F">
        <w:rPr>
          <w:lang w:eastAsia="en-GB"/>
        </w:rPr>
        <w:t xml:space="preserve"> introduced in October 2024, there are fewer unnecessary referrals and more focus on adults who really need help. More referrals now meet the legal criteria for action under Section 42 of the Care Act.</w:t>
      </w:r>
    </w:p>
    <w:p w14:paraId="2BA4051C" w14:textId="4254A17D" w:rsidR="00FF7BDC" w:rsidRPr="00B9798F" w:rsidRDefault="00FF7BDC" w:rsidP="00B9798F">
      <w:pPr>
        <w:pStyle w:val="ListParagraph"/>
        <w:numPr>
          <w:ilvl w:val="0"/>
          <w:numId w:val="3"/>
        </w:numPr>
        <w:spacing w:before="120" w:after="0" w:line="240" w:lineRule="auto"/>
        <w:ind w:left="357" w:hanging="357"/>
        <w:contextualSpacing w:val="0"/>
        <w:rPr>
          <w:rFonts w:eastAsia="Times New Roman" w:cs="Calibri"/>
          <w:kern w:val="0"/>
          <w:lang w:eastAsia="en-GB"/>
          <w14:ligatures w14:val="none"/>
        </w:rPr>
      </w:pPr>
      <w:r w:rsidRPr="00B9798F">
        <w:rPr>
          <w:rFonts w:eastAsia="Times New Roman" w:cs="Calibri"/>
          <w:b/>
          <w:bCs/>
          <w:kern w:val="0"/>
          <w:lang w:eastAsia="en-GB"/>
          <w14:ligatures w14:val="none"/>
        </w:rPr>
        <w:t>More Adults Safeguarded at Home</w:t>
      </w:r>
      <w:r w:rsidRPr="00B9798F">
        <w:rPr>
          <w:rFonts w:eastAsia="Times New Roman" w:cs="Calibri"/>
          <w:kern w:val="0"/>
          <w:lang w:eastAsia="en-GB"/>
          <w14:ligatures w14:val="none"/>
        </w:rPr>
        <w:br/>
        <w:t>Fewer concerns are coming from care homes, and more from people living in their own homes. This helps professionals spot those who may be "hidden from sight."</w:t>
      </w:r>
    </w:p>
    <w:p w14:paraId="4E64C7BB" w14:textId="2845BF0F" w:rsidR="00FF7BDC" w:rsidRPr="00B9798F" w:rsidRDefault="00FF7BDC" w:rsidP="00B9798F">
      <w:pPr>
        <w:pStyle w:val="ListParagraph"/>
        <w:numPr>
          <w:ilvl w:val="0"/>
          <w:numId w:val="3"/>
        </w:numPr>
        <w:spacing w:before="120" w:after="0" w:line="240" w:lineRule="auto"/>
        <w:ind w:left="357" w:hanging="357"/>
        <w:contextualSpacing w:val="0"/>
        <w:rPr>
          <w:rFonts w:eastAsia="Times New Roman" w:cs="Calibri"/>
          <w:kern w:val="0"/>
          <w:lang w:eastAsia="en-GB"/>
          <w14:ligatures w14:val="none"/>
        </w:rPr>
      </w:pPr>
      <w:r w:rsidRPr="00B9798F">
        <w:rPr>
          <w:rFonts w:eastAsia="Times New Roman" w:cs="Calibri"/>
          <w:b/>
          <w:bCs/>
          <w:kern w:val="0"/>
          <w:lang w:eastAsia="en-GB"/>
          <w14:ligatures w14:val="none"/>
        </w:rPr>
        <w:t>Strong Outcomes</w:t>
      </w:r>
      <w:r w:rsidRPr="00B9798F">
        <w:rPr>
          <w:rFonts w:eastAsia="Times New Roman" w:cs="Calibri"/>
          <w:kern w:val="0"/>
          <w:lang w:eastAsia="en-GB"/>
          <w14:ligatures w14:val="none"/>
        </w:rPr>
        <w:br/>
        <w:t>87% of concluded safeguarding enquiries resulted in risks being either removed or reduced – a strong sign that help is effective when given.</w:t>
      </w:r>
    </w:p>
    <w:p w14:paraId="0B4F327E" w14:textId="1D434A41" w:rsidR="00FF7BDC" w:rsidRPr="00B9798F" w:rsidRDefault="00FF7BDC" w:rsidP="00B9798F">
      <w:pPr>
        <w:pStyle w:val="ListParagraph"/>
        <w:numPr>
          <w:ilvl w:val="0"/>
          <w:numId w:val="3"/>
        </w:numPr>
        <w:spacing w:before="120" w:after="0" w:line="240" w:lineRule="auto"/>
        <w:ind w:left="357" w:hanging="357"/>
        <w:contextualSpacing w:val="0"/>
        <w:rPr>
          <w:rFonts w:eastAsia="Times New Roman" w:cs="Calibri"/>
          <w:kern w:val="0"/>
          <w:lang w:eastAsia="en-GB"/>
          <w14:ligatures w14:val="none"/>
        </w:rPr>
      </w:pPr>
      <w:r w:rsidRPr="00B9798F">
        <w:rPr>
          <w:rFonts w:eastAsia="Times New Roman" w:cs="Calibri"/>
          <w:b/>
          <w:bCs/>
          <w:kern w:val="0"/>
          <w:lang w:eastAsia="en-GB"/>
          <w14:ligatures w14:val="none"/>
        </w:rPr>
        <w:t>Learning from Reviews</w:t>
      </w:r>
      <w:r w:rsidRPr="00B9798F">
        <w:rPr>
          <w:rFonts w:eastAsia="Times New Roman" w:cs="Calibri"/>
          <w:kern w:val="0"/>
          <w:lang w:eastAsia="en-GB"/>
          <w14:ligatures w14:val="none"/>
        </w:rPr>
        <w:br/>
        <w:t xml:space="preserve">Two new </w:t>
      </w:r>
      <w:r w:rsidRPr="00B9798F">
        <w:rPr>
          <w:rFonts w:eastAsia="Times New Roman" w:cs="Calibri"/>
          <w:i/>
          <w:iCs/>
          <w:kern w:val="0"/>
          <w:lang w:eastAsia="en-GB"/>
          <w14:ligatures w14:val="none"/>
        </w:rPr>
        <w:t>Safeguarding Adults Reviews (SARs)</w:t>
      </w:r>
      <w:r w:rsidRPr="00B9798F">
        <w:rPr>
          <w:rFonts w:eastAsia="Times New Roman" w:cs="Calibri"/>
          <w:kern w:val="0"/>
          <w:lang w:eastAsia="en-GB"/>
          <w14:ligatures w14:val="none"/>
        </w:rPr>
        <w:t xml:space="preserve"> were started this year. These reviews look at serious cases and help organisations learn lessons to avoid future harm. Learning from SARs has already led to better guidance and training, particularly around mental health, self-neglect, and support during transitions into adulthood.</w:t>
      </w:r>
    </w:p>
    <w:p w14:paraId="7850D247" w14:textId="7F731AAA" w:rsidR="00FF7BDC" w:rsidRPr="00B9798F" w:rsidRDefault="00FF7BDC" w:rsidP="00B9798F">
      <w:pPr>
        <w:pStyle w:val="ListParagraph"/>
        <w:numPr>
          <w:ilvl w:val="0"/>
          <w:numId w:val="3"/>
        </w:numPr>
        <w:spacing w:before="120" w:after="0" w:line="240" w:lineRule="auto"/>
        <w:ind w:left="357" w:hanging="357"/>
        <w:contextualSpacing w:val="0"/>
        <w:rPr>
          <w:rFonts w:eastAsia="Times New Roman" w:cs="Calibri"/>
          <w:kern w:val="0"/>
          <w:lang w:eastAsia="en-GB"/>
          <w14:ligatures w14:val="none"/>
        </w:rPr>
      </w:pPr>
      <w:r w:rsidRPr="00B9798F">
        <w:rPr>
          <w:rFonts w:eastAsia="Times New Roman" w:cs="Calibri"/>
          <w:b/>
          <w:bCs/>
          <w:kern w:val="0"/>
          <w:lang w:eastAsia="en-GB"/>
          <w14:ligatures w14:val="none"/>
        </w:rPr>
        <w:t>Training and Awareness</w:t>
      </w:r>
      <w:r w:rsidRPr="00B9798F">
        <w:rPr>
          <w:rFonts w:eastAsia="Times New Roman" w:cs="Calibri"/>
          <w:kern w:val="0"/>
          <w:lang w:eastAsia="en-GB"/>
          <w14:ligatures w14:val="none"/>
        </w:rPr>
        <w:br/>
        <w:t>More staff have been trained, and new guidance was produced on key topics like self-neglect, engaging with adults who are hard to reach, and dealing with sexual safety concerns. Training attendance and e-learning completions continue to rise.</w:t>
      </w:r>
    </w:p>
    <w:p w14:paraId="4F9FEB13" w14:textId="0BCC8D5F" w:rsidR="00FF7BDC" w:rsidRPr="00B9798F" w:rsidRDefault="00FF7BDC" w:rsidP="00B9798F">
      <w:pPr>
        <w:pStyle w:val="ListParagraph"/>
        <w:numPr>
          <w:ilvl w:val="0"/>
          <w:numId w:val="3"/>
        </w:numPr>
        <w:spacing w:before="120" w:after="0" w:line="240" w:lineRule="auto"/>
        <w:ind w:left="357" w:hanging="357"/>
        <w:contextualSpacing w:val="0"/>
        <w:rPr>
          <w:rFonts w:eastAsia="Times New Roman" w:cs="Calibri"/>
          <w:kern w:val="0"/>
          <w:lang w:eastAsia="en-GB"/>
          <w14:ligatures w14:val="none"/>
        </w:rPr>
      </w:pPr>
      <w:r w:rsidRPr="00B9798F">
        <w:rPr>
          <w:rFonts w:eastAsia="Times New Roman" w:cs="Calibri"/>
          <w:b/>
          <w:bCs/>
          <w:kern w:val="0"/>
          <w:lang w:eastAsia="en-GB"/>
          <w14:ligatures w14:val="none"/>
        </w:rPr>
        <w:t>Public Engagement</w:t>
      </w:r>
      <w:r w:rsidRPr="00B9798F">
        <w:rPr>
          <w:rFonts w:eastAsia="Times New Roman" w:cs="Calibri"/>
          <w:kern w:val="0"/>
          <w:lang w:eastAsia="en-GB"/>
          <w14:ligatures w14:val="none"/>
        </w:rPr>
        <w:br/>
        <w:t>People across Calderdale – including carers and community groups – have helped shape the Board’s priorities. They’ve told us what’s working and what still needs to improve, especially around tackling stigma, language barriers, and inequality.</w:t>
      </w:r>
    </w:p>
    <w:p w14:paraId="5B5CF158" w14:textId="7DB4A641" w:rsidR="00FF7BDC" w:rsidRPr="00B9798F" w:rsidRDefault="00FF7BDC" w:rsidP="00FF7BDC">
      <w:pPr>
        <w:pStyle w:val="Heading3"/>
        <w:rPr>
          <w:rFonts w:eastAsia="Times New Roman"/>
          <w:b/>
          <w:bCs/>
          <w:lang w:eastAsia="en-GB"/>
        </w:rPr>
      </w:pPr>
      <w:r w:rsidRPr="00B9798F">
        <w:rPr>
          <w:rFonts w:eastAsia="Times New Roman"/>
          <w:b/>
          <w:bCs/>
          <w:color w:val="auto"/>
          <w:lang w:eastAsia="en-GB"/>
        </w:rPr>
        <w:t>Transitional Safeguarding – Young People Transitioning to Adulthood</w:t>
      </w:r>
    </w:p>
    <w:p w14:paraId="17A3A8DE" w14:textId="0CECD953" w:rsidR="00FF7BDC" w:rsidRPr="00B9798F" w:rsidRDefault="00FF7BDC" w:rsidP="00FF7BDC">
      <w:pPr>
        <w:spacing w:after="100" w:afterAutospacing="1" w:line="240" w:lineRule="auto"/>
        <w:rPr>
          <w:rFonts w:eastAsia="Times New Roman" w:cs="Calibri"/>
          <w:kern w:val="0"/>
          <w:lang w:eastAsia="en-GB"/>
          <w14:ligatures w14:val="none"/>
        </w:rPr>
      </w:pPr>
      <w:r w:rsidRPr="00B9798F">
        <w:rPr>
          <w:rFonts w:eastAsia="Times New Roman" w:cs="Calibri"/>
          <w:kern w:val="0"/>
          <w:lang w:eastAsia="en-GB"/>
          <w14:ligatures w14:val="none"/>
        </w:rPr>
        <w:t>The Board is working closely with children’s services to support young people as they move into adulthood. Special focus is on those with mental health needs, adverse childhood experiences, or those at risk of harm. Pilot projects are helping, but more work is needed to close service gaps and ensure smooth, safe transitions.</w:t>
      </w:r>
    </w:p>
    <w:p w14:paraId="2CA28B5B" w14:textId="532113E2" w:rsidR="00FF7BDC" w:rsidRPr="00B9798F" w:rsidRDefault="00FF7BDC" w:rsidP="00B70A1B">
      <w:pPr>
        <w:pStyle w:val="Heading2"/>
        <w:rPr>
          <w:rFonts w:asciiTheme="minorHAnsi" w:eastAsia="Times New Roman" w:hAnsiTheme="minorHAnsi"/>
          <w:b/>
          <w:bCs/>
          <w:color w:val="auto"/>
          <w:lang w:eastAsia="en-GB"/>
        </w:rPr>
      </w:pPr>
      <w:r w:rsidRPr="00B9798F">
        <w:rPr>
          <w:rFonts w:asciiTheme="minorHAnsi" w:eastAsia="Times New Roman" w:hAnsiTheme="minorHAnsi"/>
          <w:b/>
          <w:bCs/>
          <w:color w:val="auto"/>
          <w:lang w:eastAsia="en-GB"/>
        </w:rPr>
        <w:lastRenderedPageBreak/>
        <w:t>What Needs to Improve</w:t>
      </w:r>
    </w:p>
    <w:p w14:paraId="72C8E1AC" w14:textId="10B35F69" w:rsidR="00FF7BDC" w:rsidRPr="00B9798F" w:rsidRDefault="00B9798F" w:rsidP="00B9798F">
      <w:pPr>
        <w:spacing w:after="120" w:line="240" w:lineRule="auto"/>
        <w:rPr>
          <w:rFonts w:eastAsia="Times New Roman" w:cs="Calibri"/>
          <w:kern w:val="0"/>
          <w:lang w:eastAsia="en-GB"/>
          <w14:ligatures w14:val="none"/>
        </w:rPr>
      </w:pPr>
      <w:r w:rsidRPr="00B9798F">
        <w:rPr>
          <w:rFonts w:ascii="Segoe UI Emoji" w:eastAsia="Times New Roman" w:hAnsi="Segoe UI Emoji" w:cs="Segoe UI Emoji"/>
          <w:b/>
          <w:bCs/>
          <w:kern w:val="0"/>
          <w:lang w:eastAsia="en-GB"/>
          <w14:ligatures w14:val="none"/>
        </w:rPr>
        <w:t>⚠️</w:t>
      </w:r>
      <w:r w:rsidRPr="00B9798F">
        <w:rPr>
          <w:rFonts w:eastAsia="Times New Roman" w:cs="Calibri"/>
          <w:b/>
          <w:bCs/>
          <w:kern w:val="0"/>
          <w:lang w:eastAsia="en-GB"/>
          <w14:ligatures w14:val="none"/>
        </w:rPr>
        <w:t xml:space="preserve"> </w:t>
      </w:r>
      <w:r w:rsidR="00FF7BDC" w:rsidRPr="00B9798F">
        <w:rPr>
          <w:rFonts w:eastAsia="Times New Roman" w:cs="Calibri"/>
          <w:b/>
          <w:bCs/>
          <w:kern w:val="0"/>
          <w:lang w:eastAsia="en-GB"/>
          <w14:ligatures w14:val="none"/>
        </w:rPr>
        <w:t>Advocacy Support</w:t>
      </w:r>
      <w:r w:rsidR="00FF7BDC" w:rsidRPr="00B9798F">
        <w:rPr>
          <w:rFonts w:eastAsia="Times New Roman" w:cs="Calibri"/>
          <w:kern w:val="0"/>
          <w:lang w:eastAsia="en-GB"/>
          <w14:ligatures w14:val="none"/>
        </w:rPr>
        <w:br/>
        <w:t>Fewer adults received advocacy support in early 2025. Advocacy ensures people’s voices are heard in safeguarding decisions – so this will be a priority moving forward.</w:t>
      </w:r>
    </w:p>
    <w:p w14:paraId="1F86657E" w14:textId="306F8741" w:rsidR="00FF7BDC" w:rsidRPr="00B9798F" w:rsidRDefault="00B9798F" w:rsidP="00B9798F">
      <w:pPr>
        <w:spacing w:after="120" w:line="240" w:lineRule="auto"/>
        <w:rPr>
          <w:rFonts w:eastAsia="Times New Roman" w:cs="Calibri"/>
          <w:kern w:val="0"/>
          <w:lang w:eastAsia="en-GB"/>
          <w14:ligatures w14:val="none"/>
        </w:rPr>
      </w:pPr>
      <w:r w:rsidRPr="00B9798F">
        <w:rPr>
          <w:rFonts w:ascii="Segoe UI Emoji" w:eastAsia="Times New Roman" w:hAnsi="Segoe UI Emoji" w:cs="Segoe UI Emoji"/>
          <w:b/>
          <w:bCs/>
          <w:kern w:val="0"/>
          <w:lang w:eastAsia="en-GB"/>
          <w14:ligatures w14:val="none"/>
        </w:rPr>
        <w:t>⚠️</w:t>
      </w:r>
      <w:r w:rsidRPr="00B9798F">
        <w:rPr>
          <w:rFonts w:eastAsia="Times New Roman" w:cs="Calibri"/>
          <w:b/>
          <w:bCs/>
          <w:kern w:val="0"/>
          <w:lang w:eastAsia="en-GB"/>
          <w14:ligatures w14:val="none"/>
        </w:rPr>
        <w:t xml:space="preserve"> </w:t>
      </w:r>
      <w:r w:rsidR="00FF7BDC" w:rsidRPr="00B9798F">
        <w:rPr>
          <w:rFonts w:eastAsia="Times New Roman" w:cs="Calibri"/>
          <w:b/>
          <w:bCs/>
          <w:kern w:val="0"/>
          <w:lang w:eastAsia="en-GB"/>
          <w14:ligatures w14:val="none"/>
        </w:rPr>
        <w:t>Timely Safeguarding Responses</w:t>
      </w:r>
      <w:r w:rsidR="00FF7BDC" w:rsidRPr="00B9798F">
        <w:rPr>
          <w:rFonts w:eastAsia="Times New Roman" w:cs="Calibri"/>
          <w:kern w:val="0"/>
          <w:lang w:eastAsia="en-GB"/>
          <w14:ligatures w14:val="none"/>
        </w:rPr>
        <w:br/>
        <w:t>Some safeguarding cases in the community are complex and take time to resolve. The Board will work to speed up support for these individuals.</w:t>
      </w:r>
    </w:p>
    <w:p w14:paraId="01F05CBB" w14:textId="2C9829D9" w:rsidR="00FF7BDC" w:rsidRPr="00B9798F" w:rsidRDefault="00B9798F" w:rsidP="00B9798F">
      <w:pPr>
        <w:spacing w:after="120" w:line="240" w:lineRule="auto"/>
        <w:rPr>
          <w:rFonts w:eastAsia="Times New Roman" w:cs="Calibri"/>
          <w:kern w:val="0"/>
          <w:lang w:eastAsia="en-GB"/>
          <w14:ligatures w14:val="none"/>
        </w:rPr>
      </w:pPr>
      <w:r w:rsidRPr="00B9798F">
        <w:rPr>
          <w:rFonts w:ascii="Segoe UI Emoji" w:eastAsia="Times New Roman" w:hAnsi="Segoe UI Emoji" w:cs="Segoe UI Emoji"/>
          <w:b/>
          <w:bCs/>
          <w:kern w:val="0"/>
          <w:lang w:eastAsia="en-GB"/>
          <w14:ligatures w14:val="none"/>
        </w:rPr>
        <w:t>⚠️</w:t>
      </w:r>
      <w:r w:rsidRPr="00B9798F">
        <w:rPr>
          <w:rFonts w:eastAsia="Times New Roman" w:cs="Calibri"/>
          <w:b/>
          <w:bCs/>
          <w:kern w:val="0"/>
          <w:lang w:eastAsia="en-GB"/>
          <w14:ligatures w14:val="none"/>
        </w:rPr>
        <w:t xml:space="preserve"> </w:t>
      </w:r>
      <w:r w:rsidR="00FF7BDC" w:rsidRPr="00B9798F">
        <w:rPr>
          <w:rFonts w:eastAsia="Times New Roman" w:cs="Calibri"/>
          <w:b/>
          <w:bCs/>
          <w:kern w:val="0"/>
          <w:lang w:eastAsia="en-GB"/>
          <w14:ligatures w14:val="none"/>
        </w:rPr>
        <w:t>Better Data and Evidence</w:t>
      </w:r>
      <w:r w:rsidR="00FF7BDC" w:rsidRPr="00B9798F">
        <w:rPr>
          <w:rFonts w:eastAsia="Times New Roman" w:cs="Calibri"/>
          <w:kern w:val="0"/>
          <w:lang w:eastAsia="en-GB"/>
          <w14:ligatures w14:val="none"/>
        </w:rPr>
        <w:br/>
        <w:t>More needs to be done to collect and analyse data around ethnicity, deprivation, asylum seekers, and people with complex lives to ensure everyone receives fair and effective safeguarding.</w:t>
      </w:r>
    </w:p>
    <w:p w14:paraId="322B629F" w14:textId="7DF2CB84" w:rsidR="00FF7BDC" w:rsidRPr="00B9798F" w:rsidRDefault="00B9798F" w:rsidP="00B9798F">
      <w:pPr>
        <w:spacing w:after="120" w:line="240" w:lineRule="auto"/>
        <w:rPr>
          <w:rFonts w:eastAsia="Times New Roman" w:cs="Calibri"/>
          <w:kern w:val="0"/>
          <w:lang w:eastAsia="en-GB"/>
          <w14:ligatures w14:val="none"/>
        </w:rPr>
      </w:pPr>
      <w:r w:rsidRPr="00B9798F">
        <w:rPr>
          <w:rFonts w:ascii="Segoe UI Emoji" w:eastAsia="Times New Roman" w:hAnsi="Segoe UI Emoji" w:cs="Segoe UI Emoji"/>
          <w:b/>
          <w:bCs/>
          <w:kern w:val="0"/>
          <w:lang w:eastAsia="en-GB"/>
          <w14:ligatures w14:val="none"/>
        </w:rPr>
        <w:t>⚠️</w:t>
      </w:r>
      <w:r w:rsidRPr="00B9798F">
        <w:rPr>
          <w:rFonts w:eastAsia="Times New Roman" w:cs="Calibri"/>
          <w:b/>
          <w:bCs/>
          <w:kern w:val="0"/>
          <w:lang w:eastAsia="en-GB"/>
          <w14:ligatures w14:val="none"/>
        </w:rPr>
        <w:t xml:space="preserve"> </w:t>
      </w:r>
      <w:r w:rsidR="00FF7BDC" w:rsidRPr="00B9798F">
        <w:rPr>
          <w:rFonts w:eastAsia="Times New Roman" w:cs="Calibri"/>
          <w:b/>
          <w:bCs/>
          <w:kern w:val="0"/>
          <w:lang w:eastAsia="en-GB"/>
          <w14:ligatures w14:val="none"/>
        </w:rPr>
        <w:t>Embedding Learning into Practice</w:t>
      </w:r>
      <w:r w:rsidR="00FF7BDC" w:rsidRPr="00B9798F">
        <w:rPr>
          <w:rFonts w:eastAsia="Times New Roman" w:cs="Calibri"/>
          <w:kern w:val="0"/>
          <w:lang w:eastAsia="en-GB"/>
          <w14:ligatures w14:val="none"/>
        </w:rPr>
        <w:br/>
        <w:t>While training is happening, the Board wants to make sure that lessons from past cases are really making a difference in day-to-day practice.</w:t>
      </w:r>
    </w:p>
    <w:p w14:paraId="45734115" w14:textId="77777777" w:rsidR="00FF7BDC" w:rsidRPr="00B9798F" w:rsidRDefault="00FF7BDC" w:rsidP="00B9798F">
      <w:pPr>
        <w:pStyle w:val="Heading2"/>
        <w:spacing w:before="480"/>
        <w:rPr>
          <w:rFonts w:eastAsia="Times New Roman"/>
          <w:b/>
          <w:bCs/>
          <w:color w:val="auto"/>
          <w:lang w:eastAsia="en-GB"/>
        </w:rPr>
      </w:pPr>
      <w:r w:rsidRPr="00B9798F">
        <w:rPr>
          <w:rFonts w:eastAsia="Times New Roman"/>
          <w:b/>
          <w:bCs/>
          <w:color w:val="auto"/>
          <w:lang w:eastAsia="en-GB"/>
        </w:rPr>
        <w:t>Looking Ahead – Priorities for 2025 and Beyond</w:t>
      </w:r>
    </w:p>
    <w:p w14:paraId="71949BDE" w14:textId="77777777" w:rsidR="00FF7BDC" w:rsidRPr="00B9798F" w:rsidRDefault="00FF7BDC" w:rsidP="00B9798F">
      <w:pPr>
        <w:numPr>
          <w:ilvl w:val="0"/>
          <w:numId w:val="1"/>
        </w:numPr>
        <w:spacing w:before="120" w:after="100" w:afterAutospacing="1" w:line="240" w:lineRule="auto"/>
        <w:ind w:left="714" w:hanging="357"/>
        <w:rPr>
          <w:rFonts w:eastAsia="Times New Roman" w:cs="Calibri"/>
          <w:kern w:val="0"/>
          <w:lang w:eastAsia="en-GB"/>
          <w14:ligatures w14:val="none"/>
        </w:rPr>
      </w:pPr>
      <w:r w:rsidRPr="00B9798F">
        <w:rPr>
          <w:rFonts w:ascii="Segoe UI Emoji" w:eastAsia="Times New Roman" w:hAnsi="Segoe UI Emoji" w:cs="Segoe UI Emoji"/>
          <w:kern w:val="0"/>
          <w:lang w:eastAsia="en-GB"/>
          <w14:ligatures w14:val="none"/>
        </w:rPr>
        <w:t>🏠</w:t>
      </w:r>
      <w:r w:rsidRPr="00B9798F">
        <w:rPr>
          <w:rFonts w:eastAsia="Times New Roman" w:cs="Calibri"/>
          <w:kern w:val="0"/>
          <w:lang w:eastAsia="en-GB"/>
          <w14:ligatures w14:val="none"/>
        </w:rPr>
        <w:t xml:space="preserve"> </w:t>
      </w:r>
      <w:r w:rsidRPr="00B9798F">
        <w:rPr>
          <w:rFonts w:eastAsia="Times New Roman" w:cs="Calibri"/>
          <w:b/>
          <w:bCs/>
          <w:kern w:val="0"/>
          <w:lang w:eastAsia="en-GB"/>
          <w14:ligatures w14:val="none"/>
        </w:rPr>
        <w:t>Develop a Multi-Agency Safeguarding Hub (MASH)</w:t>
      </w:r>
      <w:r w:rsidRPr="00B9798F">
        <w:rPr>
          <w:rFonts w:eastAsia="Times New Roman" w:cs="Calibri"/>
          <w:kern w:val="0"/>
          <w:lang w:eastAsia="en-GB"/>
          <w14:ligatures w14:val="none"/>
        </w:rPr>
        <w:t xml:space="preserve"> to improve coordination and speed of response.</w:t>
      </w:r>
    </w:p>
    <w:p w14:paraId="6D2C7A4C" w14:textId="77777777" w:rsidR="00FF7BDC" w:rsidRPr="00B9798F" w:rsidRDefault="00FF7BDC" w:rsidP="00B9798F">
      <w:pPr>
        <w:numPr>
          <w:ilvl w:val="0"/>
          <w:numId w:val="1"/>
        </w:numPr>
        <w:spacing w:before="120" w:after="100" w:afterAutospacing="1" w:line="240" w:lineRule="auto"/>
        <w:rPr>
          <w:rFonts w:eastAsia="Times New Roman" w:cs="Calibri"/>
          <w:kern w:val="0"/>
          <w:lang w:eastAsia="en-GB"/>
          <w14:ligatures w14:val="none"/>
        </w:rPr>
      </w:pPr>
      <w:r w:rsidRPr="00B9798F">
        <w:rPr>
          <w:rFonts w:ascii="Segoe UI Emoji" w:eastAsia="Times New Roman" w:hAnsi="Segoe UI Emoji" w:cs="Segoe UI Emoji"/>
          <w:kern w:val="0"/>
          <w:lang w:eastAsia="en-GB"/>
          <w14:ligatures w14:val="none"/>
        </w:rPr>
        <w:t>🔍</w:t>
      </w:r>
      <w:r w:rsidRPr="00B9798F">
        <w:rPr>
          <w:rFonts w:eastAsia="Times New Roman" w:cs="Calibri"/>
          <w:kern w:val="0"/>
          <w:lang w:eastAsia="en-GB"/>
          <w14:ligatures w14:val="none"/>
        </w:rPr>
        <w:t xml:space="preserve"> </w:t>
      </w:r>
      <w:r w:rsidRPr="00B9798F">
        <w:rPr>
          <w:rFonts w:eastAsia="Times New Roman" w:cs="Calibri"/>
          <w:b/>
          <w:bCs/>
          <w:kern w:val="0"/>
          <w:lang w:eastAsia="en-GB"/>
          <w14:ligatures w14:val="none"/>
        </w:rPr>
        <w:t>Monitor the new Thresholds Guidance</w:t>
      </w:r>
      <w:r w:rsidRPr="00B9798F">
        <w:rPr>
          <w:rFonts w:eastAsia="Times New Roman" w:cs="Calibri"/>
          <w:kern w:val="0"/>
          <w:lang w:eastAsia="en-GB"/>
          <w14:ligatures w14:val="none"/>
        </w:rPr>
        <w:t xml:space="preserve"> to make sure it continues to help the right people.</w:t>
      </w:r>
    </w:p>
    <w:p w14:paraId="5E5CB01E" w14:textId="77777777" w:rsidR="00FF7BDC" w:rsidRPr="00B9798F" w:rsidRDefault="00FF7BDC" w:rsidP="00B9798F">
      <w:pPr>
        <w:numPr>
          <w:ilvl w:val="0"/>
          <w:numId w:val="1"/>
        </w:numPr>
        <w:spacing w:before="120" w:after="100" w:afterAutospacing="1" w:line="240" w:lineRule="auto"/>
        <w:rPr>
          <w:rFonts w:eastAsia="Times New Roman" w:cs="Calibri"/>
          <w:kern w:val="0"/>
          <w:lang w:eastAsia="en-GB"/>
          <w14:ligatures w14:val="none"/>
        </w:rPr>
      </w:pPr>
      <w:r w:rsidRPr="00B9798F">
        <w:rPr>
          <w:rFonts w:ascii="Segoe UI Emoji" w:eastAsia="Times New Roman" w:hAnsi="Segoe UI Emoji" w:cs="Segoe UI Emoji"/>
          <w:kern w:val="0"/>
          <w:lang w:eastAsia="en-GB"/>
          <w14:ligatures w14:val="none"/>
        </w:rPr>
        <w:t>👂</w:t>
      </w:r>
      <w:r w:rsidRPr="00B9798F">
        <w:rPr>
          <w:rFonts w:eastAsia="Times New Roman" w:cs="Calibri"/>
          <w:kern w:val="0"/>
          <w:lang w:eastAsia="en-GB"/>
          <w14:ligatures w14:val="none"/>
        </w:rPr>
        <w:t xml:space="preserve"> </w:t>
      </w:r>
      <w:r w:rsidRPr="00B9798F">
        <w:rPr>
          <w:rFonts w:eastAsia="Times New Roman" w:cs="Calibri"/>
          <w:b/>
          <w:bCs/>
          <w:kern w:val="0"/>
          <w:lang w:eastAsia="en-GB"/>
          <w14:ligatures w14:val="none"/>
        </w:rPr>
        <w:t>Involve communities and individuals</w:t>
      </w:r>
      <w:r w:rsidRPr="00B9798F">
        <w:rPr>
          <w:rFonts w:eastAsia="Times New Roman" w:cs="Calibri"/>
          <w:kern w:val="0"/>
          <w:lang w:eastAsia="en-GB"/>
          <w14:ligatures w14:val="none"/>
        </w:rPr>
        <w:t xml:space="preserve"> more in shaping safeguarding work.</w:t>
      </w:r>
    </w:p>
    <w:p w14:paraId="24DD4824" w14:textId="77777777" w:rsidR="00FF7BDC" w:rsidRPr="00B9798F" w:rsidRDefault="00FF7BDC" w:rsidP="00B9798F">
      <w:pPr>
        <w:numPr>
          <w:ilvl w:val="0"/>
          <w:numId w:val="1"/>
        </w:numPr>
        <w:spacing w:before="120" w:after="100" w:afterAutospacing="1" w:line="240" w:lineRule="auto"/>
        <w:rPr>
          <w:rFonts w:eastAsia="Times New Roman" w:cs="Calibri"/>
          <w:kern w:val="0"/>
          <w:lang w:eastAsia="en-GB"/>
          <w14:ligatures w14:val="none"/>
        </w:rPr>
      </w:pPr>
      <w:r w:rsidRPr="00B9798F">
        <w:rPr>
          <w:rFonts w:ascii="Segoe UI Emoji" w:eastAsia="Times New Roman" w:hAnsi="Segoe UI Emoji" w:cs="Segoe UI Emoji"/>
          <w:kern w:val="0"/>
          <w:lang w:eastAsia="en-GB"/>
          <w14:ligatures w14:val="none"/>
        </w:rPr>
        <w:t>📊</w:t>
      </w:r>
      <w:r w:rsidRPr="00B9798F">
        <w:rPr>
          <w:rFonts w:eastAsia="Times New Roman" w:cs="Calibri"/>
          <w:kern w:val="0"/>
          <w:lang w:eastAsia="en-GB"/>
          <w14:ligatures w14:val="none"/>
        </w:rPr>
        <w:t xml:space="preserve"> </w:t>
      </w:r>
      <w:r w:rsidRPr="00B9798F">
        <w:rPr>
          <w:rFonts w:eastAsia="Times New Roman" w:cs="Calibri"/>
          <w:b/>
          <w:bCs/>
          <w:kern w:val="0"/>
          <w:lang w:eastAsia="en-GB"/>
          <w14:ligatures w14:val="none"/>
        </w:rPr>
        <w:t>Improve how outcomes are measured</w:t>
      </w:r>
      <w:r w:rsidRPr="00B9798F">
        <w:rPr>
          <w:rFonts w:eastAsia="Times New Roman" w:cs="Calibri"/>
          <w:kern w:val="0"/>
          <w:lang w:eastAsia="en-GB"/>
          <w14:ligatures w14:val="none"/>
        </w:rPr>
        <w:t xml:space="preserve"> to ensure support really works.</w:t>
      </w:r>
    </w:p>
    <w:p w14:paraId="58254D5E" w14:textId="77777777" w:rsidR="00FF7BDC" w:rsidRPr="00B9798F" w:rsidRDefault="00FF7BDC" w:rsidP="00B9798F">
      <w:pPr>
        <w:numPr>
          <w:ilvl w:val="0"/>
          <w:numId w:val="1"/>
        </w:numPr>
        <w:spacing w:before="120" w:after="100" w:afterAutospacing="1" w:line="240" w:lineRule="auto"/>
        <w:rPr>
          <w:rFonts w:eastAsia="Times New Roman" w:cs="Calibri"/>
          <w:kern w:val="0"/>
          <w:lang w:eastAsia="en-GB"/>
          <w14:ligatures w14:val="none"/>
        </w:rPr>
      </w:pPr>
      <w:r w:rsidRPr="00B9798F">
        <w:rPr>
          <w:rFonts w:ascii="Segoe UI Emoji" w:eastAsia="Times New Roman" w:hAnsi="Segoe UI Emoji" w:cs="Segoe UI Emoji"/>
          <w:kern w:val="0"/>
          <w:lang w:eastAsia="en-GB"/>
          <w14:ligatures w14:val="none"/>
        </w:rPr>
        <w:t>🧠</w:t>
      </w:r>
      <w:r w:rsidRPr="00B9798F">
        <w:rPr>
          <w:rFonts w:eastAsia="Times New Roman" w:cs="Calibri"/>
          <w:kern w:val="0"/>
          <w:lang w:eastAsia="en-GB"/>
          <w14:ligatures w14:val="none"/>
        </w:rPr>
        <w:t xml:space="preserve"> </w:t>
      </w:r>
      <w:r w:rsidRPr="00B9798F">
        <w:rPr>
          <w:rFonts w:eastAsia="Times New Roman" w:cs="Calibri"/>
          <w:b/>
          <w:bCs/>
          <w:kern w:val="0"/>
          <w:lang w:eastAsia="en-GB"/>
          <w14:ligatures w14:val="none"/>
        </w:rPr>
        <w:t>Strengthen support for young people</w:t>
      </w:r>
      <w:r w:rsidRPr="00B9798F">
        <w:rPr>
          <w:rFonts w:eastAsia="Times New Roman" w:cs="Calibri"/>
          <w:kern w:val="0"/>
          <w:lang w:eastAsia="en-GB"/>
          <w14:ligatures w14:val="none"/>
        </w:rPr>
        <w:t>, especially those with complex needs.</w:t>
      </w:r>
    </w:p>
    <w:p w14:paraId="2A15E325" w14:textId="6D2B437A" w:rsidR="00FF7BDC" w:rsidRPr="00B9798F" w:rsidRDefault="00FF7BDC" w:rsidP="00B9798F">
      <w:pPr>
        <w:numPr>
          <w:ilvl w:val="0"/>
          <w:numId w:val="1"/>
        </w:numPr>
        <w:spacing w:before="120" w:after="100" w:afterAutospacing="1" w:line="240" w:lineRule="auto"/>
        <w:rPr>
          <w:rFonts w:eastAsia="Times New Roman" w:cs="Calibri"/>
          <w:kern w:val="0"/>
          <w:lang w:eastAsia="en-GB"/>
          <w14:ligatures w14:val="none"/>
        </w:rPr>
      </w:pPr>
      <w:r w:rsidRPr="00B9798F">
        <w:rPr>
          <w:rFonts w:ascii="Segoe UI Emoji" w:eastAsia="Times New Roman" w:hAnsi="Segoe UI Emoji" w:cs="Segoe UI Emoji"/>
          <w:kern w:val="0"/>
          <w:lang w:eastAsia="en-GB"/>
          <w14:ligatures w14:val="none"/>
        </w:rPr>
        <w:t>🌍</w:t>
      </w:r>
      <w:r w:rsidRPr="00B9798F">
        <w:rPr>
          <w:rFonts w:eastAsia="Times New Roman" w:cs="Calibri"/>
          <w:kern w:val="0"/>
          <w:lang w:eastAsia="en-GB"/>
          <w14:ligatures w14:val="none"/>
        </w:rPr>
        <w:t xml:space="preserve"> </w:t>
      </w:r>
      <w:r w:rsidRPr="00B9798F">
        <w:rPr>
          <w:rFonts w:eastAsia="Times New Roman" w:cs="Calibri"/>
          <w:b/>
          <w:bCs/>
          <w:kern w:val="0"/>
          <w:lang w:eastAsia="en-GB"/>
          <w14:ligatures w14:val="none"/>
        </w:rPr>
        <w:t>Promote inclusiv</w:t>
      </w:r>
      <w:r w:rsidR="00082775" w:rsidRPr="00B9798F">
        <w:rPr>
          <w:rFonts w:eastAsia="Times New Roman" w:cs="Calibri"/>
          <w:b/>
          <w:bCs/>
          <w:kern w:val="0"/>
          <w:lang w:eastAsia="en-GB"/>
          <w14:ligatures w14:val="none"/>
        </w:rPr>
        <w:t>ity</w:t>
      </w:r>
      <w:r w:rsidRPr="00B9798F">
        <w:rPr>
          <w:rFonts w:eastAsia="Times New Roman" w:cs="Calibri"/>
          <w:b/>
          <w:bCs/>
          <w:kern w:val="0"/>
          <w:lang w:eastAsia="en-GB"/>
          <w14:ligatures w14:val="none"/>
        </w:rPr>
        <w:t xml:space="preserve">, </w:t>
      </w:r>
      <w:r w:rsidR="00082775" w:rsidRPr="00B9798F">
        <w:rPr>
          <w:rFonts w:eastAsia="Times New Roman" w:cs="Calibri"/>
          <w:b/>
          <w:bCs/>
          <w:kern w:val="0"/>
          <w:lang w:eastAsia="en-GB"/>
          <w14:ligatures w14:val="none"/>
        </w:rPr>
        <w:t>reduce inequality,</w:t>
      </w:r>
      <w:r w:rsidR="00082775" w:rsidRPr="00B9798F">
        <w:rPr>
          <w:rFonts w:eastAsia="Times New Roman" w:cs="Calibri"/>
          <w:kern w:val="0"/>
          <w:lang w:eastAsia="en-GB"/>
          <w14:ligatures w14:val="none"/>
        </w:rPr>
        <w:t xml:space="preserve"> by understanding and respecting different cultures and helping people get the support they need</w:t>
      </w:r>
      <w:r w:rsidRPr="00B9798F">
        <w:rPr>
          <w:rFonts w:eastAsia="Times New Roman" w:cs="Calibri"/>
          <w:kern w:val="0"/>
          <w:lang w:eastAsia="en-GB"/>
          <w14:ligatures w14:val="none"/>
        </w:rPr>
        <w:t>.</w:t>
      </w:r>
      <w:r w:rsidR="00082775" w:rsidRPr="00B9798F">
        <w:rPr>
          <w:rFonts w:eastAsia="Times New Roman" w:cs="Calibri"/>
          <w:kern w:val="0"/>
          <w:lang w:eastAsia="en-GB"/>
          <w14:ligatures w14:val="none"/>
        </w:rPr>
        <w:t xml:space="preserve"> </w:t>
      </w:r>
    </w:p>
    <w:p w14:paraId="3A5A010C" w14:textId="665E6F7A" w:rsidR="00FF7BDC" w:rsidRPr="00B9798F" w:rsidRDefault="00FF7BDC" w:rsidP="00B9798F">
      <w:pPr>
        <w:numPr>
          <w:ilvl w:val="0"/>
          <w:numId w:val="1"/>
        </w:numPr>
        <w:spacing w:before="120" w:after="100" w:afterAutospacing="1" w:line="240" w:lineRule="auto"/>
        <w:rPr>
          <w:rFonts w:eastAsia="Times New Roman" w:cs="Calibri"/>
          <w:kern w:val="0"/>
          <w:lang w:eastAsia="en-GB"/>
          <w14:ligatures w14:val="none"/>
        </w:rPr>
      </w:pPr>
      <w:r w:rsidRPr="00B9798F">
        <w:rPr>
          <w:rFonts w:ascii="Segoe UI Emoji" w:eastAsia="Times New Roman" w:hAnsi="Segoe UI Emoji" w:cs="Segoe UI Emoji"/>
          <w:kern w:val="0"/>
          <w:lang w:eastAsia="en-GB"/>
          <w14:ligatures w14:val="none"/>
        </w:rPr>
        <w:t>🧑</w:t>
      </w:r>
      <w:r w:rsidRPr="00B9798F">
        <w:rPr>
          <w:rFonts w:eastAsia="Times New Roman" w:cs="Calibri"/>
          <w:kern w:val="0"/>
          <w:lang w:eastAsia="en-GB"/>
          <w14:ligatures w14:val="none"/>
        </w:rPr>
        <w:t>‍</w:t>
      </w:r>
      <w:r w:rsidRPr="00B9798F">
        <w:rPr>
          <w:rFonts w:ascii="Segoe UI Emoji" w:eastAsia="Times New Roman" w:hAnsi="Segoe UI Emoji" w:cs="Segoe UI Emoji"/>
          <w:kern w:val="0"/>
          <w:lang w:eastAsia="en-GB"/>
          <w14:ligatures w14:val="none"/>
        </w:rPr>
        <w:t>🤝</w:t>
      </w:r>
      <w:r w:rsidRPr="00B9798F">
        <w:rPr>
          <w:rFonts w:eastAsia="Times New Roman" w:cs="Calibri"/>
          <w:kern w:val="0"/>
          <w:lang w:eastAsia="en-GB"/>
          <w14:ligatures w14:val="none"/>
        </w:rPr>
        <w:t>‍</w:t>
      </w:r>
      <w:r w:rsidRPr="00B9798F">
        <w:rPr>
          <w:rFonts w:ascii="Segoe UI Emoji" w:eastAsia="Times New Roman" w:hAnsi="Segoe UI Emoji" w:cs="Segoe UI Emoji"/>
          <w:kern w:val="0"/>
          <w:lang w:eastAsia="en-GB"/>
          <w14:ligatures w14:val="none"/>
        </w:rPr>
        <w:t>🧑</w:t>
      </w:r>
      <w:r w:rsidRPr="00B9798F">
        <w:rPr>
          <w:rFonts w:eastAsia="Times New Roman" w:cs="Calibri"/>
          <w:kern w:val="0"/>
          <w:lang w:eastAsia="en-GB"/>
          <w14:ligatures w14:val="none"/>
        </w:rPr>
        <w:t xml:space="preserve"> </w:t>
      </w:r>
      <w:r w:rsidRPr="00B9798F">
        <w:rPr>
          <w:rFonts w:eastAsia="Times New Roman" w:cs="Calibri"/>
          <w:b/>
          <w:bCs/>
          <w:kern w:val="0"/>
          <w:lang w:eastAsia="en-GB"/>
          <w14:ligatures w14:val="none"/>
        </w:rPr>
        <w:t>Support the care workforce</w:t>
      </w:r>
      <w:r w:rsidRPr="00B9798F">
        <w:rPr>
          <w:rFonts w:eastAsia="Times New Roman" w:cs="Calibri"/>
          <w:kern w:val="0"/>
          <w:lang w:eastAsia="en-GB"/>
          <w14:ligatures w14:val="none"/>
        </w:rPr>
        <w:t xml:space="preserve"> with training and practical tools for complex safeguarding cases.</w:t>
      </w:r>
    </w:p>
    <w:p w14:paraId="672FE76F" w14:textId="77777777" w:rsidR="00FF7BDC" w:rsidRPr="00B9798F" w:rsidRDefault="00FF7BDC" w:rsidP="00B9798F">
      <w:pPr>
        <w:pStyle w:val="Heading2"/>
        <w:rPr>
          <w:rFonts w:eastAsia="Times New Roman"/>
          <w:b/>
          <w:bCs/>
          <w:color w:val="auto"/>
          <w:lang w:eastAsia="en-GB"/>
        </w:rPr>
      </w:pPr>
      <w:r w:rsidRPr="00B9798F">
        <w:rPr>
          <w:rFonts w:eastAsia="Times New Roman"/>
          <w:b/>
          <w:bCs/>
          <w:color w:val="auto"/>
          <w:lang w:eastAsia="en-GB"/>
        </w:rPr>
        <w:t>Final Message</w:t>
      </w:r>
    </w:p>
    <w:p w14:paraId="1E13B178" w14:textId="00917486" w:rsidR="00FF7BDC" w:rsidRPr="00B9798F" w:rsidRDefault="00FF7BDC" w:rsidP="00BB54AF">
      <w:pPr>
        <w:rPr>
          <w:lang w:eastAsia="en-GB"/>
        </w:rPr>
      </w:pPr>
      <w:r w:rsidRPr="00B9798F">
        <w:rPr>
          <w:lang w:eastAsia="en-GB"/>
        </w:rPr>
        <w:t xml:space="preserve">This year, CSAB has focused on listening, learning, and improving. By working closely with adults, carers, and professionals, the Board aims to make Calderdale a place where </w:t>
      </w:r>
      <w:r w:rsidRPr="00B9798F">
        <w:rPr>
          <w:b/>
          <w:bCs/>
          <w:lang w:eastAsia="en-GB"/>
        </w:rPr>
        <w:t>every adult is protected, supported, and treated with dignity</w:t>
      </w:r>
      <w:r w:rsidRPr="00B9798F">
        <w:rPr>
          <w:lang w:eastAsia="en-GB"/>
        </w:rPr>
        <w:t>.</w:t>
      </w:r>
    </w:p>
    <w:p w14:paraId="5D956972" w14:textId="56CD0C91" w:rsidR="00A42940" w:rsidRPr="00B9798F" w:rsidRDefault="00FF7BDC" w:rsidP="00B9798F">
      <w:pPr>
        <w:spacing w:before="100" w:beforeAutospacing="1" w:after="100" w:afterAutospacing="1" w:line="240" w:lineRule="auto"/>
        <w:jc w:val="center"/>
        <w:rPr>
          <w:rFonts w:eastAsia="Times New Roman" w:cs="Times New Roman"/>
          <w:kern w:val="0"/>
          <w:lang w:eastAsia="en-GB"/>
          <w14:ligatures w14:val="none"/>
        </w:rPr>
      </w:pPr>
      <w:bookmarkStart w:id="0" w:name="_Hlk210293773"/>
      <w:r w:rsidRPr="00B9798F">
        <w:rPr>
          <w:rFonts w:eastAsia="Times New Roman" w:cs="Calibri"/>
          <w:kern w:val="0"/>
          <w:lang w:eastAsia="en-GB"/>
          <w14:ligatures w14:val="none"/>
        </w:rPr>
        <w:t xml:space="preserve">For more information or to report a safeguarding concern, visit: </w:t>
      </w:r>
      <w:bookmarkEnd w:id="0"/>
      <w:r w:rsidRPr="00B9798F">
        <w:fldChar w:fldCharType="begin"/>
      </w:r>
      <w:r w:rsidRPr="00B9798F">
        <w:instrText>HYPERLINK "https://safeguarding.calderdale.gov.uk/"</w:instrText>
      </w:r>
      <w:r w:rsidRPr="00B9798F">
        <w:fldChar w:fldCharType="separate"/>
      </w:r>
      <w:r w:rsidRPr="00B9798F">
        <w:rPr>
          <w:rStyle w:val="Hyperlink"/>
          <w:rFonts w:eastAsia="Times New Roman" w:cs="Calibri"/>
          <w:kern w:val="0"/>
          <w:lang w:eastAsia="en-GB"/>
          <w14:ligatures w14:val="none"/>
        </w:rPr>
        <w:t>https://safeguarding.calderdale.gov.uk/</w:t>
      </w:r>
      <w:r w:rsidRPr="00B9798F">
        <w:fldChar w:fldCharType="end"/>
      </w:r>
      <w:r w:rsidRPr="00B9798F">
        <w:rPr>
          <w:rFonts w:eastAsia="Times New Roman" w:cs="Times New Roman"/>
          <w:kern w:val="0"/>
          <w:lang w:eastAsia="en-GB"/>
          <w14:ligatures w14:val="none"/>
        </w:rPr>
        <w:t xml:space="preserve"> </w:t>
      </w:r>
    </w:p>
    <w:sectPr w:rsidR="00A42940" w:rsidRPr="00B97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1DF2"/>
    <w:multiLevelType w:val="multilevel"/>
    <w:tmpl w:val="1F96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45CFC"/>
    <w:multiLevelType w:val="hybridMultilevel"/>
    <w:tmpl w:val="0EEE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1C7CCC"/>
    <w:multiLevelType w:val="hybridMultilevel"/>
    <w:tmpl w:val="3EEE7C6E"/>
    <w:lvl w:ilvl="0" w:tplc="2BE0B974">
      <w:start w:val="1"/>
      <w:numFmt w:val="bullet"/>
      <w:lvlText w:val=""/>
      <w:lvlJc w:val="left"/>
      <w:pPr>
        <w:ind w:left="360" w:hanging="360"/>
      </w:pPr>
      <w:rPr>
        <w:rFonts w:ascii="Wingdings" w:hAnsi="Wingdings" w:hint="default"/>
        <w:color w:val="3A7C22" w:themeColor="accent6" w:themeShade="BF"/>
        <w:sz w:val="2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51889920">
    <w:abstractNumId w:val="0"/>
  </w:num>
  <w:num w:numId="2" w16cid:durableId="1782794725">
    <w:abstractNumId w:val="1"/>
  </w:num>
  <w:num w:numId="3" w16cid:durableId="1254163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DC"/>
    <w:rsid w:val="00082775"/>
    <w:rsid w:val="00126E11"/>
    <w:rsid w:val="001D603F"/>
    <w:rsid w:val="00525AAF"/>
    <w:rsid w:val="0074075C"/>
    <w:rsid w:val="009C3F0C"/>
    <w:rsid w:val="00A42940"/>
    <w:rsid w:val="00B70A1B"/>
    <w:rsid w:val="00B9798F"/>
    <w:rsid w:val="00BB54AF"/>
    <w:rsid w:val="00BC36A4"/>
    <w:rsid w:val="00E83447"/>
    <w:rsid w:val="00EE46D0"/>
    <w:rsid w:val="00FF7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f9eb"/>
      <o:colormenu v:ext="edit" fillcolor="#eff9eb"/>
    </o:shapedefaults>
    <o:shapelayout v:ext="edit">
      <o:idmap v:ext="edit" data="1"/>
    </o:shapelayout>
  </w:shapeDefaults>
  <w:decimalSymbol w:val="."/>
  <w:listSeparator w:val=","/>
  <w14:docId w14:val="0BBCDD25"/>
  <w15:chartTrackingRefBased/>
  <w15:docId w15:val="{7C2CDF3E-3E28-4EE3-B234-B3514F75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7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7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7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7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BDC"/>
    <w:rPr>
      <w:rFonts w:eastAsiaTheme="majorEastAsia" w:cstheme="majorBidi"/>
      <w:color w:val="272727" w:themeColor="text1" w:themeTint="D8"/>
    </w:rPr>
  </w:style>
  <w:style w:type="paragraph" w:styleId="Title">
    <w:name w:val="Title"/>
    <w:basedOn w:val="Normal"/>
    <w:next w:val="Normal"/>
    <w:link w:val="TitleChar"/>
    <w:uiPriority w:val="10"/>
    <w:qFormat/>
    <w:rsid w:val="00FF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BDC"/>
    <w:pPr>
      <w:spacing w:before="160"/>
      <w:jc w:val="center"/>
    </w:pPr>
    <w:rPr>
      <w:i/>
      <w:iCs/>
      <w:color w:val="404040" w:themeColor="text1" w:themeTint="BF"/>
    </w:rPr>
  </w:style>
  <w:style w:type="character" w:customStyle="1" w:styleId="QuoteChar">
    <w:name w:val="Quote Char"/>
    <w:basedOn w:val="DefaultParagraphFont"/>
    <w:link w:val="Quote"/>
    <w:uiPriority w:val="29"/>
    <w:rsid w:val="00FF7BDC"/>
    <w:rPr>
      <w:i/>
      <w:iCs/>
      <w:color w:val="404040" w:themeColor="text1" w:themeTint="BF"/>
    </w:rPr>
  </w:style>
  <w:style w:type="paragraph" w:styleId="ListParagraph">
    <w:name w:val="List Paragraph"/>
    <w:basedOn w:val="Normal"/>
    <w:uiPriority w:val="34"/>
    <w:qFormat/>
    <w:rsid w:val="00FF7BDC"/>
    <w:pPr>
      <w:ind w:left="720"/>
      <w:contextualSpacing/>
    </w:pPr>
  </w:style>
  <w:style w:type="character" w:styleId="IntenseEmphasis">
    <w:name w:val="Intense Emphasis"/>
    <w:basedOn w:val="DefaultParagraphFont"/>
    <w:uiPriority w:val="21"/>
    <w:qFormat/>
    <w:rsid w:val="00FF7BDC"/>
    <w:rPr>
      <w:i/>
      <w:iCs/>
      <w:color w:val="0F4761" w:themeColor="accent1" w:themeShade="BF"/>
    </w:rPr>
  </w:style>
  <w:style w:type="paragraph" w:styleId="IntenseQuote">
    <w:name w:val="Intense Quote"/>
    <w:basedOn w:val="Normal"/>
    <w:next w:val="Normal"/>
    <w:link w:val="IntenseQuoteChar"/>
    <w:uiPriority w:val="30"/>
    <w:qFormat/>
    <w:rsid w:val="00FF7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BDC"/>
    <w:rPr>
      <w:i/>
      <w:iCs/>
      <w:color w:val="0F4761" w:themeColor="accent1" w:themeShade="BF"/>
    </w:rPr>
  </w:style>
  <w:style w:type="character" w:styleId="IntenseReference">
    <w:name w:val="Intense Reference"/>
    <w:basedOn w:val="DefaultParagraphFont"/>
    <w:uiPriority w:val="32"/>
    <w:qFormat/>
    <w:rsid w:val="00FF7BDC"/>
    <w:rPr>
      <w:b/>
      <w:bCs/>
      <w:smallCaps/>
      <w:color w:val="0F4761" w:themeColor="accent1" w:themeShade="BF"/>
      <w:spacing w:val="5"/>
    </w:rPr>
  </w:style>
  <w:style w:type="character" w:styleId="Hyperlink">
    <w:name w:val="Hyperlink"/>
    <w:basedOn w:val="DefaultParagraphFont"/>
    <w:uiPriority w:val="99"/>
    <w:unhideWhenUsed/>
    <w:rsid w:val="00FF7BDC"/>
    <w:rPr>
      <w:color w:val="467886" w:themeColor="hyperlink"/>
      <w:u w:val="single"/>
    </w:rPr>
  </w:style>
  <w:style w:type="character" w:styleId="UnresolvedMention">
    <w:name w:val="Unresolved Mention"/>
    <w:basedOn w:val="DefaultParagraphFont"/>
    <w:uiPriority w:val="99"/>
    <w:semiHidden/>
    <w:unhideWhenUsed/>
    <w:rsid w:val="00FF7BDC"/>
    <w:rPr>
      <w:color w:val="605E5C"/>
      <w:shd w:val="clear" w:color="auto" w:fill="E1DFDD"/>
    </w:rPr>
  </w:style>
  <w:style w:type="paragraph" w:styleId="TOCHeading">
    <w:name w:val="TOC Heading"/>
    <w:basedOn w:val="Heading1"/>
    <w:next w:val="Normal"/>
    <w:uiPriority w:val="39"/>
    <w:unhideWhenUsed/>
    <w:qFormat/>
    <w:rsid w:val="00BB54AF"/>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BB54AF"/>
    <w:pPr>
      <w:spacing w:after="100"/>
    </w:pPr>
  </w:style>
  <w:style w:type="paragraph" w:styleId="TOC3">
    <w:name w:val="toc 3"/>
    <w:basedOn w:val="Normal"/>
    <w:next w:val="Normal"/>
    <w:autoRedefine/>
    <w:uiPriority w:val="39"/>
    <w:unhideWhenUsed/>
    <w:rsid w:val="00BB54A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829029">
      <w:bodyDiv w:val="1"/>
      <w:marLeft w:val="0"/>
      <w:marRight w:val="0"/>
      <w:marTop w:val="0"/>
      <w:marBottom w:val="0"/>
      <w:divBdr>
        <w:top w:val="none" w:sz="0" w:space="0" w:color="auto"/>
        <w:left w:val="none" w:sz="0" w:space="0" w:color="auto"/>
        <w:bottom w:val="none" w:sz="0" w:space="0" w:color="auto"/>
        <w:right w:val="none" w:sz="0" w:space="0" w:color="auto"/>
      </w:divBdr>
      <w:divsChild>
        <w:div w:id="1490486891">
          <w:marLeft w:val="0"/>
          <w:marRight w:val="0"/>
          <w:marTop w:val="0"/>
          <w:marBottom w:val="0"/>
          <w:divBdr>
            <w:top w:val="none" w:sz="0" w:space="0" w:color="auto"/>
            <w:left w:val="none" w:sz="0" w:space="0" w:color="auto"/>
            <w:bottom w:val="none" w:sz="0" w:space="0" w:color="auto"/>
            <w:right w:val="none" w:sz="0" w:space="0" w:color="auto"/>
          </w:divBdr>
          <w:divsChild>
            <w:div w:id="1313562970">
              <w:marLeft w:val="0"/>
              <w:marRight w:val="0"/>
              <w:marTop w:val="0"/>
              <w:marBottom w:val="0"/>
              <w:divBdr>
                <w:top w:val="none" w:sz="0" w:space="0" w:color="auto"/>
                <w:left w:val="none" w:sz="0" w:space="0" w:color="auto"/>
                <w:bottom w:val="none" w:sz="0" w:space="0" w:color="auto"/>
                <w:right w:val="none" w:sz="0" w:space="0" w:color="auto"/>
              </w:divBdr>
              <w:divsChild>
                <w:div w:id="434910467">
                  <w:marLeft w:val="0"/>
                  <w:marRight w:val="0"/>
                  <w:marTop w:val="0"/>
                  <w:marBottom w:val="0"/>
                  <w:divBdr>
                    <w:top w:val="none" w:sz="0" w:space="0" w:color="auto"/>
                    <w:left w:val="none" w:sz="0" w:space="0" w:color="auto"/>
                    <w:bottom w:val="none" w:sz="0" w:space="0" w:color="auto"/>
                    <w:right w:val="none" w:sz="0" w:space="0" w:color="auto"/>
                  </w:divBdr>
                  <w:divsChild>
                    <w:div w:id="489367649">
                      <w:marLeft w:val="0"/>
                      <w:marRight w:val="0"/>
                      <w:marTop w:val="0"/>
                      <w:marBottom w:val="0"/>
                      <w:divBdr>
                        <w:top w:val="none" w:sz="0" w:space="0" w:color="auto"/>
                        <w:left w:val="none" w:sz="0" w:space="0" w:color="auto"/>
                        <w:bottom w:val="none" w:sz="0" w:space="0" w:color="auto"/>
                        <w:right w:val="none" w:sz="0" w:space="0" w:color="auto"/>
                      </w:divBdr>
                      <w:divsChild>
                        <w:div w:id="2133012350">
                          <w:marLeft w:val="0"/>
                          <w:marRight w:val="0"/>
                          <w:marTop w:val="0"/>
                          <w:marBottom w:val="0"/>
                          <w:divBdr>
                            <w:top w:val="none" w:sz="0" w:space="0" w:color="auto"/>
                            <w:left w:val="none" w:sz="0" w:space="0" w:color="auto"/>
                            <w:bottom w:val="none" w:sz="0" w:space="0" w:color="auto"/>
                            <w:right w:val="none" w:sz="0" w:space="0" w:color="auto"/>
                          </w:divBdr>
                          <w:divsChild>
                            <w:div w:id="312301207">
                              <w:marLeft w:val="0"/>
                              <w:marRight w:val="0"/>
                              <w:marTop w:val="0"/>
                              <w:marBottom w:val="0"/>
                              <w:divBdr>
                                <w:top w:val="none" w:sz="0" w:space="0" w:color="auto"/>
                                <w:left w:val="none" w:sz="0" w:space="0" w:color="auto"/>
                                <w:bottom w:val="none" w:sz="0" w:space="0" w:color="auto"/>
                                <w:right w:val="none" w:sz="0" w:space="0" w:color="auto"/>
                              </w:divBdr>
                              <w:divsChild>
                                <w:div w:id="1188521254">
                                  <w:marLeft w:val="0"/>
                                  <w:marRight w:val="0"/>
                                  <w:marTop w:val="0"/>
                                  <w:marBottom w:val="0"/>
                                  <w:divBdr>
                                    <w:top w:val="none" w:sz="0" w:space="0" w:color="auto"/>
                                    <w:left w:val="none" w:sz="0" w:space="0" w:color="auto"/>
                                    <w:bottom w:val="none" w:sz="0" w:space="0" w:color="auto"/>
                                    <w:right w:val="none" w:sz="0" w:space="0" w:color="auto"/>
                                  </w:divBdr>
                                  <w:divsChild>
                                    <w:div w:id="1610352402">
                                      <w:marLeft w:val="0"/>
                                      <w:marRight w:val="0"/>
                                      <w:marTop w:val="0"/>
                                      <w:marBottom w:val="0"/>
                                      <w:divBdr>
                                        <w:top w:val="none" w:sz="0" w:space="0" w:color="auto"/>
                                        <w:left w:val="none" w:sz="0" w:space="0" w:color="auto"/>
                                        <w:bottom w:val="none" w:sz="0" w:space="0" w:color="auto"/>
                                        <w:right w:val="none" w:sz="0" w:space="0" w:color="auto"/>
                                      </w:divBdr>
                                      <w:divsChild>
                                        <w:div w:id="985012752">
                                          <w:marLeft w:val="0"/>
                                          <w:marRight w:val="0"/>
                                          <w:marTop w:val="0"/>
                                          <w:marBottom w:val="0"/>
                                          <w:divBdr>
                                            <w:top w:val="none" w:sz="0" w:space="0" w:color="auto"/>
                                            <w:left w:val="none" w:sz="0" w:space="0" w:color="auto"/>
                                            <w:bottom w:val="none" w:sz="0" w:space="0" w:color="auto"/>
                                            <w:right w:val="none" w:sz="0" w:space="0" w:color="auto"/>
                                          </w:divBdr>
                                          <w:divsChild>
                                            <w:div w:id="63526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477077">
          <w:marLeft w:val="0"/>
          <w:marRight w:val="0"/>
          <w:marTop w:val="0"/>
          <w:marBottom w:val="0"/>
          <w:divBdr>
            <w:top w:val="none" w:sz="0" w:space="0" w:color="auto"/>
            <w:left w:val="none" w:sz="0" w:space="0" w:color="auto"/>
            <w:bottom w:val="none" w:sz="0" w:space="0" w:color="auto"/>
            <w:right w:val="none" w:sz="0" w:space="0" w:color="auto"/>
          </w:divBdr>
          <w:divsChild>
            <w:div w:id="312174808">
              <w:marLeft w:val="0"/>
              <w:marRight w:val="0"/>
              <w:marTop w:val="0"/>
              <w:marBottom w:val="0"/>
              <w:divBdr>
                <w:top w:val="none" w:sz="0" w:space="0" w:color="auto"/>
                <w:left w:val="none" w:sz="0" w:space="0" w:color="auto"/>
                <w:bottom w:val="none" w:sz="0" w:space="0" w:color="auto"/>
                <w:right w:val="none" w:sz="0" w:space="0" w:color="auto"/>
              </w:divBdr>
              <w:divsChild>
                <w:div w:id="464741877">
                  <w:marLeft w:val="0"/>
                  <w:marRight w:val="0"/>
                  <w:marTop w:val="0"/>
                  <w:marBottom w:val="0"/>
                  <w:divBdr>
                    <w:top w:val="none" w:sz="0" w:space="0" w:color="auto"/>
                    <w:left w:val="none" w:sz="0" w:space="0" w:color="auto"/>
                    <w:bottom w:val="none" w:sz="0" w:space="0" w:color="auto"/>
                    <w:right w:val="none" w:sz="0" w:space="0" w:color="auto"/>
                  </w:divBdr>
                  <w:divsChild>
                    <w:div w:id="1119029890">
                      <w:marLeft w:val="0"/>
                      <w:marRight w:val="0"/>
                      <w:marTop w:val="0"/>
                      <w:marBottom w:val="0"/>
                      <w:divBdr>
                        <w:top w:val="none" w:sz="0" w:space="0" w:color="auto"/>
                        <w:left w:val="none" w:sz="0" w:space="0" w:color="auto"/>
                        <w:bottom w:val="none" w:sz="0" w:space="0" w:color="auto"/>
                        <w:right w:val="none" w:sz="0" w:space="0" w:color="auto"/>
                      </w:divBdr>
                      <w:divsChild>
                        <w:div w:id="519897740">
                          <w:marLeft w:val="0"/>
                          <w:marRight w:val="0"/>
                          <w:marTop w:val="0"/>
                          <w:marBottom w:val="0"/>
                          <w:divBdr>
                            <w:top w:val="none" w:sz="0" w:space="0" w:color="auto"/>
                            <w:left w:val="none" w:sz="0" w:space="0" w:color="auto"/>
                            <w:bottom w:val="none" w:sz="0" w:space="0" w:color="auto"/>
                            <w:right w:val="none" w:sz="0" w:space="0" w:color="auto"/>
                          </w:divBdr>
                          <w:divsChild>
                            <w:div w:id="30155956">
                              <w:marLeft w:val="0"/>
                              <w:marRight w:val="0"/>
                              <w:marTop w:val="0"/>
                              <w:marBottom w:val="0"/>
                              <w:divBdr>
                                <w:top w:val="none" w:sz="0" w:space="0" w:color="auto"/>
                                <w:left w:val="none" w:sz="0" w:space="0" w:color="auto"/>
                                <w:bottom w:val="none" w:sz="0" w:space="0" w:color="auto"/>
                                <w:right w:val="none" w:sz="0" w:space="0" w:color="auto"/>
                              </w:divBdr>
                              <w:divsChild>
                                <w:div w:id="2098790957">
                                  <w:marLeft w:val="0"/>
                                  <w:marRight w:val="0"/>
                                  <w:marTop w:val="0"/>
                                  <w:marBottom w:val="0"/>
                                  <w:divBdr>
                                    <w:top w:val="none" w:sz="0" w:space="0" w:color="auto"/>
                                    <w:left w:val="none" w:sz="0" w:space="0" w:color="auto"/>
                                    <w:bottom w:val="none" w:sz="0" w:space="0" w:color="auto"/>
                                    <w:right w:val="none" w:sz="0" w:space="0" w:color="auto"/>
                                  </w:divBdr>
                                  <w:divsChild>
                                    <w:div w:id="1971201520">
                                      <w:marLeft w:val="0"/>
                                      <w:marRight w:val="0"/>
                                      <w:marTop w:val="0"/>
                                      <w:marBottom w:val="0"/>
                                      <w:divBdr>
                                        <w:top w:val="none" w:sz="0" w:space="0" w:color="auto"/>
                                        <w:left w:val="none" w:sz="0" w:space="0" w:color="auto"/>
                                        <w:bottom w:val="none" w:sz="0" w:space="0" w:color="auto"/>
                                        <w:right w:val="none" w:sz="0" w:space="0" w:color="auto"/>
                                      </w:divBdr>
                                      <w:divsChild>
                                        <w:div w:id="1053502020">
                                          <w:marLeft w:val="0"/>
                                          <w:marRight w:val="0"/>
                                          <w:marTop w:val="0"/>
                                          <w:marBottom w:val="0"/>
                                          <w:divBdr>
                                            <w:top w:val="none" w:sz="0" w:space="0" w:color="auto"/>
                                            <w:left w:val="none" w:sz="0" w:space="0" w:color="auto"/>
                                            <w:bottom w:val="none" w:sz="0" w:space="0" w:color="auto"/>
                                            <w:right w:val="none" w:sz="0" w:space="0" w:color="auto"/>
                                          </w:divBdr>
                                          <w:divsChild>
                                            <w:div w:id="30887943">
                                              <w:marLeft w:val="0"/>
                                              <w:marRight w:val="0"/>
                                              <w:marTop w:val="0"/>
                                              <w:marBottom w:val="0"/>
                                              <w:divBdr>
                                                <w:top w:val="none" w:sz="0" w:space="0" w:color="auto"/>
                                                <w:left w:val="none" w:sz="0" w:space="0" w:color="auto"/>
                                                <w:bottom w:val="none" w:sz="0" w:space="0" w:color="auto"/>
                                                <w:right w:val="none" w:sz="0" w:space="0" w:color="auto"/>
                                              </w:divBdr>
                                              <w:divsChild>
                                                <w:div w:id="603735145">
                                                  <w:marLeft w:val="0"/>
                                                  <w:marRight w:val="0"/>
                                                  <w:marTop w:val="0"/>
                                                  <w:marBottom w:val="0"/>
                                                  <w:divBdr>
                                                    <w:top w:val="none" w:sz="0" w:space="0" w:color="auto"/>
                                                    <w:left w:val="none" w:sz="0" w:space="0" w:color="auto"/>
                                                    <w:bottom w:val="none" w:sz="0" w:space="0" w:color="auto"/>
                                                    <w:right w:val="none" w:sz="0" w:space="0" w:color="auto"/>
                                                  </w:divBdr>
                                                  <w:divsChild>
                                                    <w:div w:id="7975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afeguarding.calderdale.gov.uk/thresholds-for-safeguarding-adul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9C08B-68FF-4C63-A2CE-CCC6552F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Calderdale Metropolitan Borough Council</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Caldwell</dc:creator>
  <cp:keywords/>
  <dc:description/>
  <cp:lastModifiedBy>Sophie Wrafter</cp:lastModifiedBy>
  <cp:revision>2</cp:revision>
  <dcterms:created xsi:type="dcterms:W3CDTF">2025-10-02T09:38:00Z</dcterms:created>
  <dcterms:modified xsi:type="dcterms:W3CDTF">2025-10-02T09:38:00Z</dcterms:modified>
</cp:coreProperties>
</file>